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73CD076" w:rsidR="00841BCD" w:rsidRPr="00841BCD" w:rsidRDefault="00841BCD" w:rsidP="45026766">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4"/>
          <w:lang w:val="en-GB" w:eastAsia="zh-CN"/>
        </w:rPr>
      </w:pPr>
      <w:bookmarkStart w:id="0" w:name="_Hlk40295327"/>
      <w:bookmarkStart w:id="1" w:name="OLE_LINK5"/>
      <w:bookmarkStart w:id="2" w:name="OLE_LINK6"/>
      <w:bookmarkEnd w:id="0"/>
      <w:r w:rsidRPr="45026766">
        <w:rPr>
          <w:rFonts w:ascii="Arial" w:hAnsi="Arial" w:cs="Times New Roman"/>
          <w:b/>
          <w:bCs/>
          <w:sz w:val="24"/>
          <w:szCs w:val="24"/>
          <w:lang w:val="en-GB"/>
        </w:rPr>
        <w:t>3GPP T</w:t>
      </w:r>
      <w:bookmarkStart w:id="3" w:name="_Ref452454252"/>
      <w:bookmarkEnd w:id="3"/>
      <w:r w:rsidRPr="45026766">
        <w:rPr>
          <w:rFonts w:ascii="Arial" w:hAnsi="Arial" w:cs="Times New Roman"/>
          <w:b/>
          <w:bCs/>
          <w:sz w:val="24"/>
          <w:szCs w:val="24"/>
          <w:lang w:val="en-GB"/>
        </w:rPr>
        <w:t xml:space="preserve">SG-RAN </w:t>
      </w:r>
      <w:r w:rsidR="00BA724E" w:rsidRPr="45026766">
        <w:rPr>
          <w:rFonts w:ascii="Arial" w:hAnsi="Arial" w:cs="Times New Roman"/>
          <w:b/>
          <w:bCs/>
          <w:sz w:val="24"/>
          <w:szCs w:val="24"/>
          <w:lang w:val="en-GB"/>
        </w:rPr>
        <w:t>WG4 Meeting#</w:t>
      </w:r>
      <w:r w:rsidR="00F11151">
        <w:rPr>
          <w:rFonts w:ascii="Arial" w:hAnsi="Arial" w:cs="Times New Roman"/>
          <w:b/>
          <w:bCs/>
          <w:sz w:val="24"/>
          <w:szCs w:val="24"/>
          <w:lang w:val="en-GB"/>
        </w:rPr>
        <w:t>10</w:t>
      </w:r>
      <w:r w:rsidR="00A26970">
        <w:rPr>
          <w:rFonts w:ascii="Arial" w:hAnsi="Arial" w:cs="Times New Roman"/>
          <w:b/>
          <w:bCs/>
          <w:sz w:val="24"/>
          <w:szCs w:val="24"/>
          <w:lang w:val="en-GB"/>
        </w:rPr>
        <w:t>2</w:t>
      </w:r>
      <w:r w:rsidR="00BE32D6">
        <w:rPr>
          <w:rFonts w:ascii="Arial" w:hAnsi="Arial" w:cs="Times New Roman"/>
          <w:b/>
          <w:bCs/>
          <w:sz w:val="24"/>
          <w:szCs w:val="24"/>
          <w:lang w:val="en-GB"/>
        </w:rPr>
        <w:t>-</w:t>
      </w:r>
      <w:r w:rsidR="00F11151" w:rsidRPr="45026766">
        <w:rPr>
          <w:rFonts w:ascii="Arial" w:hAnsi="Arial" w:cs="Times New Roman"/>
          <w:b/>
          <w:bCs/>
          <w:sz w:val="24"/>
          <w:szCs w:val="24"/>
          <w:lang w:val="en-GB"/>
        </w:rPr>
        <w:t xml:space="preserve">e                </w:t>
      </w:r>
      <w:r>
        <w:tab/>
      </w:r>
      <w:r w:rsidRPr="45026766">
        <w:rPr>
          <w:rFonts w:ascii="Arial" w:hAnsi="Arial" w:cs="Times New Roman"/>
          <w:b/>
          <w:bCs/>
          <w:sz w:val="24"/>
          <w:szCs w:val="24"/>
          <w:lang w:val="en-GB" w:eastAsia="ja-JP"/>
        </w:rPr>
        <w:t>R4-</w:t>
      </w:r>
      <w:r w:rsidR="00147DC4">
        <w:rPr>
          <w:rFonts w:ascii="Arial" w:hAnsi="Arial" w:cs="Times New Roman"/>
          <w:b/>
          <w:bCs/>
          <w:sz w:val="24"/>
          <w:szCs w:val="24"/>
          <w:lang w:val="en-GB" w:eastAsia="zh-CN"/>
        </w:rPr>
        <w:t>22</w:t>
      </w:r>
      <w:r w:rsidR="005E5A78">
        <w:rPr>
          <w:rFonts w:ascii="Arial" w:hAnsi="Arial" w:cs="Times New Roman"/>
          <w:b/>
          <w:bCs/>
          <w:sz w:val="24"/>
          <w:szCs w:val="24"/>
          <w:lang w:val="en-GB" w:eastAsia="zh-CN"/>
        </w:rPr>
        <w:t>05870</w:t>
      </w:r>
      <w:r w:rsidR="00147DC4" w:rsidRPr="45026766">
        <w:rPr>
          <w:rFonts w:ascii="Arial" w:hAnsi="Arial" w:cs="Times New Roman"/>
          <w:b/>
          <w:bCs/>
          <w:sz w:val="24"/>
          <w:szCs w:val="24"/>
          <w:lang w:val="en-GB" w:eastAsia="zh-CN"/>
        </w:rPr>
        <w:t xml:space="preserve"> </w:t>
      </w:r>
    </w:p>
    <w:p w14:paraId="3DEDC117" w14:textId="05ECEAA4"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E-meeting</w:t>
      </w:r>
      <w:r w:rsidR="00176671">
        <w:rPr>
          <w:rFonts w:ascii="Arial" w:hAnsi="Arial" w:cs="Times New Roman"/>
          <w:b/>
          <w:sz w:val="24"/>
          <w:szCs w:val="20"/>
          <w:lang w:val="en-GB"/>
        </w:rPr>
        <w:t xml:space="preserve">, </w:t>
      </w:r>
      <w:r w:rsidR="00BB3798">
        <w:rPr>
          <w:rFonts w:ascii="Arial" w:hAnsi="Arial" w:cs="Times New Roman"/>
          <w:b/>
          <w:sz w:val="24"/>
          <w:szCs w:val="20"/>
          <w:lang w:val="en-GB"/>
        </w:rPr>
        <w:t>21</w:t>
      </w:r>
      <w:r w:rsidR="00BB3798" w:rsidRPr="00BE32D6">
        <w:rPr>
          <w:rFonts w:ascii="Arial" w:hAnsi="Arial" w:cs="Times New Roman"/>
          <w:b/>
          <w:sz w:val="24"/>
          <w:szCs w:val="20"/>
          <w:vertAlign w:val="superscript"/>
          <w:lang w:val="en-GB"/>
        </w:rPr>
        <w:t>st</w:t>
      </w:r>
      <w:r w:rsidR="00BB3798">
        <w:rPr>
          <w:rFonts w:ascii="Arial" w:hAnsi="Arial" w:cs="Times New Roman"/>
          <w:b/>
          <w:sz w:val="24"/>
          <w:szCs w:val="20"/>
          <w:lang w:val="en-GB"/>
        </w:rPr>
        <w:t xml:space="preserve"> </w:t>
      </w:r>
      <w:r w:rsidR="00147DC4">
        <w:rPr>
          <w:rFonts w:ascii="Arial" w:hAnsi="Arial" w:cs="Times New Roman"/>
          <w:b/>
          <w:sz w:val="24"/>
          <w:szCs w:val="20"/>
          <w:lang w:val="en-GB"/>
        </w:rPr>
        <w:t>Feb</w:t>
      </w:r>
      <w:r w:rsidR="003A17DD">
        <w:rPr>
          <w:rFonts w:ascii="Arial" w:hAnsi="Arial" w:cs="Times New Roman"/>
          <w:b/>
          <w:sz w:val="24"/>
          <w:szCs w:val="20"/>
          <w:lang w:val="en-GB"/>
        </w:rPr>
        <w:t xml:space="preserve"> </w:t>
      </w:r>
      <w:r w:rsidR="00176671">
        <w:rPr>
          <w:rFonts w:ascii="Arial" w:hAnsi="Arial" w:cs="Times New Roman"/>
          <w:b/>
          <w:sz w:val="24"/>
          <w:szCs w:val="20"/>
          <w:lang w:val="en-GB"/>
        </w:rPr>
        <w:t xml:space="preserve">– </w:t>
      </w:r>
      <w:r w:rsidR="00BB3798">
        <w:rPr>
          <w:rFonts w:ascii="Arial" w:hAnsi="Arial" w:cs="Times New Roman"/>
          <w:b/>
          <w:sz w:val="24"/>
          <w:szCs w:val="20"/>
          <w:lang w:val="en-GB"/>
        </w:rPr>
        <w:t>3</w:t>
      </w:r>
      <w:r w:rsidR="00BB3798" w:rsidRPr="000D5BA6">
        <w:rPr>
          <w:rFonts w:ascii="Arial" w:hAnsi="Arial" w:cs="Times New Roman"/>
          <w:b/>
          <w:sz w:val="24"/>
          <w:szCs w:val="20"/>
          <w:vertAlign w:val="superscript"/>
          <w:lang w:val="en-GB"/>
        </w:rPr>
        <w:t>r</w:t>
      </w:r>
      <w:r w:rsidR="00BB3798">
        <w:rPr>
          <w:rFonts w:ascii="Arial" w:hAnsi="Arial" w:cs="Times New Roman"/>
          <w:b/>
          <w:sz w:val="24"/>
          <w:szCs w:val="20"/>
          <w:vertAlign w:val="superscript"/>
          <w:lang w:val="en-GB"/>
        </w:rPr>
        <w:t>d</w:t>
      </w:r>
      <w:r w:rsidR="00BB3798">
        <w:rPr>
          <w:rFonts w:ascii="Arial" w:hAnsi="Arial" w:cs="Times New Roman"/>
          <w:b/>
          <w:sz w:val="24"/>
          <w:szCs w:val="20"/>
          <w:lang w:val="en-GB"/>
        </w:rPr>
        <w:t xml:space="preserve"> </w:t>
      </w:r>
      <w:r w:rsidR="00147DC4">
        <w:rPr>
          <w:rFonts w:ascii="Arial" w:hAnsi="Arial" w:cs="Times New Roman"/>
          <w:b/>
          <w:sz w:val="24"/>
          <w:szCs w:val="20"/>
          <w:lang w:val="en-GB"/>
        </w:rPr>
        <w:t>Mar</w:t>
      </w:r>
      <w:r w:rsidR="009557A8">
        <w:rPr>
          <w:rFonts w:ascii="Arial" w:hAnsi="Arial" w:cs="Times New Roman"/>
          <w:b/>
          <w:sz w:val="24"/>
          <w:szCs w:val="20"/>
          <w:lang w:val="en-GB"/>
        </w:rPr>
        <w:t xml:space="preserve">, </w:t>
      </w:r>
      <w:r w:rsidR="00034E66" w:rsidRPr="00841BCD">
        <w:rPr>
          <w:rFonts w:ascii="Arial" w:hAnsi="Arial" w:cs="Times New Roman"/>
          <w:b/>
          <w:bCs/>
          <w:noProof/>
          <w:sz w:val="24"/>
          <w:szCs w:val="20"/>
          <w:lang w:eastAsia="zh-CN"/>
        </w:rPr>
        <w:t>20</w:t>
      </w:r>
      <w:r w:rsidR="00034E66">
        <w:rPr>
          <w:rFonts w:ascii="Arial" w:hAnsi="Arial" w:cs="Times New Roman"/>
          <w:b/>
          <w:bCs/>
          <w:noProof/>
          <w:sz w:val="24"/>
          <w:szCs w:val="20"/>
          <w:lang w:eastAsia="zh-CN"/>
        </w:rPr>
        <w:t>22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D914C9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FR2 </w:t>
      </w:r>
      <w:r w:rsidR="00037B05">
        <w:rPr>
          <w:rFonts w:ascii="Arial" w:eastAsia="Calibri" w:hAnsi="Arial" w:cs="Arial"/>
          <w:b/>
          <w:bCs/>
          <w:sz w:val="24"/>
          <w:lang w:val="en-GB"/>
        </w:rPr>
        <w:t xml:space="preserve">inter-band </w:t>
      </w:r>
      <w:r w:rsidR="002645DC">
        <w:rPr>
          <w:rFonts w:ascii="Arial" w:eastAsia="Calibri" w:hAnsi="Arial" w:cs="Arial"/>
          <w:b/>
          <w:bCs/>
          <w:sz w:val="24"/>
          <w:lang w:val="en-GB"/>
        </w:rPr>
        <w:t xml:space="preserve">DL </w:t>
      </w:r>
      <w:r w:rsidR="00037B05">
        <w:rPr>
          <w:rFonts w:ascii="Arial" w:eastAsia="Calibri" w:hAnsi="Arial" w:cs="Arial"/>
          <w:b/>
          <w:bCs/>
          <w:sz w:val="24"/>
          <w:lang w:val="en-GB"/>
        </w:rPr>
        <w:t xml:space="preserve">CA </w:t>
      </w:r>
      <w:r w:rsidR="0080086F">
        <w:rPr>
          <w:rFonts w:ascii="Arial" w:eastAsia="Calibri" w:hAnsi="Arial" w:cs="Arial"/>
          <w:b/>
          <w:bCs/>
          <w:sz w:val="24"/>
          <w:lang w:val="en-GB"/>
        </w:rPr>
        <w:t>MRTD requirements for CBM capable UE</w:t>
      </w:r>
    </w:p>
    <w:p w14:paraId="53921647" w14:textId="03957F5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F0B28">
        <w:rPr>
          <w:rFonts w:ascii="Arial" w:eastAsia="MS Mincho" w:hAnsi="Arial" w:cs="Arial"/>
          <w:b/>
          <w:bCs/>
          <w:sz w:val="24"/>
          <w:szCs w:val="20"/>
          <w:lang w:val="en-GB"/>
        </w:rPr>
        <w:t>10</w:t>
      </w:r>
      <w:r w:rsidR="00757DAB" w:rsidDel="003A17DD">
        <w:rPr>
          <w:rFonts w:ascii="Arial" w:eastAsia="MS Mincho" w:hAnsi="Arial" w:cs="Arial"/>
          <w:b/>
          <w:bCs/>
          <w:sz w:val="24"/>
          <w:szCs w:val="20"/>
          <w:lang w:val="en-GB"/>
        </w:rPr>
        <w:t>.</w:t>
      </w:r>
      <w:r w:rsidR="00C379EF" w:rsidDel="003A17DD">
        <w:rPr>
          <w:rFonts w:ascii="Arial" w:eastAsia="MS Mincho" w:hAnsi="Arial" w:cs="Arial"/>
          <w:b/>
          <w:bCs/>
          <w:sz w:val="24"/>
          <w:szCs w:val="20"/>
          <w:lang w:val="en-GB"/>
        </w:rPr>
        <w:t>4</w:t>
      </w:r>
      <w:r w:rsidR="00757DAB" w:rsidDel="003A17DD">
        <w:rPr>
          <w:rFonts w:ascii="Arial" w:eastAsia="MS Mincho" w:hAnsi="Arial" w:cs="Arial"/>
          <w:b/>
          <w:bCs/>
          <w:sz w:val="24"/>
          <w:szCs w:val="20"/>
          <w:lang w:val="en-GB"/>
        </w:rPr>
        <w:t>.</w:t>
      </w:r>
      <w:r w:rsidR="005E2D65">
        <w:rPr>
          <w:rFonts w:ascii="Arial" w:eastAsia="MS Mincho" w:hAnsi="Arial" w:cs="Arial"/>
          <w:b/>
          <w:bCs/>
          <w:sz w:val="24"/>
          <w:szCs w:val="20"/>
          <w:lang w:val="en-GB"/>
        </w:rPr>
        <w:t>6.1.1</w:t>
      </w:r>
    </w:p>
    <w:p w14:paraId="266D763D" w14:textId="04D06F58"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r>
      <w:r w:rsidR="00F854EC">
        <w:rPr>
          <w:rFonts w:ascii="Arial" w:eastAsia="Calibri" w:hAnsi="Arial" w:cs="Arial"/>
          <w:b/>
          <w:bCs/>
          <w:sz w:val="24"/>
          <w:lang w:val="en-GB"/>
        </w:rPr>
        <w:t>Discussion</w:t>
      </w:r>
    </w:p>
    <w:p w14:paraId="505DD0D6" w14:textId="51A1B980" w:rsidR="00841BCD" w:rsidRPr="00841BCD" w:rsidRDefault="00841BCD" w:rsidP="00A37002">
      <w:pPr>
        <w:pStyle w:val="RAN4H1"/>
      </w:pPr>
      <w:r w:rsidRPr="00AE56B1">
        <w:t>Intro</w:t>
      </w:r>
      <w:r w:rsidRPr="00AE56B1">
        <w:rPr>
          <w:rStyle w:val="RAN4H1Char"/>
        </w:rPr>
        <w:t>ductio</w:t>
      </w:r>
      <w:r w:rsidRPr="00AE56B1">
        <w:t>n</w:t>
      </w:r>
      <w:r w:rsidR="00C379EF">
        <w:t xml:space="preserve"> </w:t>
      </w:r>
    </w:p>
    <w:p w14:paraId="034937BB" w14:textId="7D8610E0" w:rsidR="005433E0" w:rsidRDefault="00E6539E" w:rsidP="00BA5303">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Further enhancements of NR RF requirements for frequency range 2 (FR2)</w:t>
      </w:r>
      <w:r>
        <w:rPr>
          <w:rFonts w:eastAsia="Calibri" w:cs="Times New Roman"/>
          <w:szCs w:val="20"/>
          <w:lang w:val="en-GB"/>
        </w:rPr>
        <w:t xml:space="preserve"> [1]. Initial discussions started in RAN4#97</w:t>
      </w:r>
      <w:r w:rsidR="00A33F35">
        <w:rPr>
          <w:rFonts w:eastAsia="Calibri" w:cs="Times New Roman"/>
          <w:szCs w:val="20"/>
          <w:lang w:val="en-GB"/>
        </w:rPr>
        <w:t>e</w:t>
      </w:r>
      <w:r>
        <w:rPr>
          <w:rFonts w:eastAsia="Calibri" w:cs="Times New Roman"/>
          <w:szCs w:val="20"/>
          <w:lang w:val="en-GB"/>
        </w:rPr>
        <w:t xml:space="preserve"> meeting</w:t>
      </w:r>
      <w:r w:rsidR="00A33F35">
        <w:rPr>
          <w:rFonts w:eastAsia="Calibri" w:cs="Times New Roman"/>
          <w:szCs w:val="20"/>
          <w:lang w:val="en-GB"/>
        </w:rPr>
        <w:t xml:space="preserve"> and continued the discussion in previous meetings</w:t>
      </w:r>
      <w:r>
        <w:rPr>
          <w:rFonts w:eastAsia="Calibri" w:cs="Times New Roman"/>
          <w:szCs w:val="20"/>
          <w:lang w:val="en-GB"/>
        </w:rPr>
        <w:t xml:space="preserve"> where some agreements were reached.</w:t>
      </w:r>
      <w:r w:rsidR="00781E1D">
        <w:rPr>
          <w:rFonts w:eastAsia="Calibri" w:cs="Times New Roman"/>
          <w:szCs w:val="20"/>
          <w:lang w:val="en-GB"/>
        </w:rPr>
        <w:t xml:space="preserve"> </w:t>
      </w:r>
      <w:r w:rsidR="00101AD0">
        <w:rPr>
          <w:rFonts w:eastAsia="Calibri" w:cs="Times New Roman"/>
          <w:szCs w:val="20"/>
          <w:lang w:val="en-GB"/>
        </w:rPr>
        <w:t xml:space="preserve">In </w:t>
      </w:r>
      <w:r w:rsidR="00A33F35">
        <w:rPr>
          <w:rFonts w:eastAsia="Calibri" w:cs="Times New Roman"/>
          <w:szCs w:val="20"/>
          <w:lang w:val="en-GB"/>
        </w:rPr>
        <w:t xml:space="preserve">last </w:t>
      </w:r>
      <w:r w:rsidR="00101AD0">
        <w:rPr>
          <w:rFonts w:eastAsia="Calibri" w:cs="Times New Roman"/>
          <w:szCs w:val="20"/>
          <w:lang w:val="en-GB"/>
        </w:rPr>
        <w:t>RAN4#</w:t>
      </w:r>
      <w:r w:rsidR="00A33F35">
        <w:rPr>
          <w:rFonts w:eastAsia="Calibri" w:cs="Times New Roman"/>
          <w:szCs w:val="20"/>
          <w:lang w:val="en-GB"/>
        </w:rPr>
        <w:t>10</w:t>
      </w:r>
      <w:r w:rsidR="00F2197E">
        <w:rPr>
          <w:rFonts w:eastAsia="Calibri" w:cs="Times New Roman"/>
          <w:szCs w:val="20"/>
          <w:lang w:val="en-GB"/>
        </w:rPr>
        <w:t>1</w:t>
      </w:r>
      <w:r w:rsidR="00A33F35">
        <w:rPr>
          <w:rFonts w:eastAsia="Calibri" w:cs="Times New Roman"/>
          <w:szCs w:val="20"/>
          <w:lang w:val="en-GB"/>
        </w:rPr>
        <w:t>e</w:t>
      </w:r>
      <w:r w:rsidR="00CC6145">
        <w:rPr>
          <w:rFonts w:eastAsia="Calibri" w:cs="Times New Roman"/>
          <w:szCs w:val="20"/>
          <w:lang w:val="en-GB"/>
        </w:rPr>
        <w:t>-bis</w:t>
      </w:r>
      <w:r w:rsidR="00A32FD4">
        <w:rPr>
          <w:rFonts w:eastAsia="Calibri" w:cs="Times New Roman"/>
          <w:szCs w:val="20"/>
          <w:lang w:val="en-GB"/>
        </w:rPr>
        <w:t xml:space="preserve"> </w:t>
      </w:r>
      <w:r w:rsidR="00101AD0">
        <w:rPr>
          <w:rFonts w:eastAsia="Calibri" w:cs="Times New Roman"/>
          <w:szCs w:val="20"/>
          <w:lang w:val="en-GB"/>
        </w:rPr>
        <w:t xml:space="preserve">meeting </w:t>
      </w:r>
      <w:r w:rsidR="00A32FD4">
        <w:rPr>
          <w:rFonts w:eastAsia="Calibri" w:cs="Times New Roman"/>
          <w:szCs w:val="20"/>
          <w:lang w:val="en-GB"/>
        </w:rPr>
        <w:t>further</w:t>
      </w:r>
      <w:r w:rsidR="00101AD0">
        <w:rPr>
          <w:rFonts w:eastAsia="Calibri" w:cs="Times New Roman"/>
          <w:szCs w:val="20"/>
          <w:lang w:val="en-GB"/>
        </w:rPr>
        <w:t xml:space="preserve"> discussions were carried out in RRM with agreed WF</w:t>
      </w:r>
      <w:r w:rsidR="00A32FD4">
        <w:rPr>
          <w:rFonts w:eastAsia="Calibri" w:cs="Times New Roman"/>
          <w:szCs w:val="20"/>
          <w:lang w:val="en-GB"/>
        </w:rPr>
        <w:t>s</w:t>
      </w:r>
      <w:r w:rsidR="00101AD0">
        <w:rPr>
          <w:rFonts w:eastAsia="Calibri" w:cs="Times New Roman"/>
          <w:szCs w:val="20"/>
          <w:lang w:val="en-GB"/>
        </w:rPr>
        <w:t xml:space="preserve"> in [</w:t>
      </w:r>
      <w:r w:rsidR="009116AB">
        <w:rPr>
          <w:rFonts w:eastAsia="Calibri" w:cs="Times New Roman"/>
          <w:szCs w:val="20"/>
          <w:lang w:val="en-GB"/>
        </w:rPr>
        <w:t>6</w:t>
      </w:r>
      <w:r w:rsidR="00101AD0">
        <w:rPr>
          <w:rFonts w:eastAsia="Calibri" w:cs="Times New Roman"/>
          <w:szCs w:val="20"/>
          <w:lang w:val="en-GB"/>
        </w:rPr>
        <w:t xml:space="preserve">] as outcome. </w:t>
      </w:r>
      <w:r>
        <w:rPr>
          <w:rFonts w:eastAsia="Calibri" w:cs="Times New Roman"/>
          <w:szCs w:val="20"/>
          <w:lang w:val="en-GB"/>
        </w:rPr>
        <w:t xml:space="preserve">In this paper we </w:t>
      </w:r>
      <w:r w:rsidR="00F3439D">
        <w:rPr>
          <w:rFonts w:eastAsia="Calibri" w:cs="Times New Roman"/>
          <w:szCs w:val="20"/>
          <w:lang w:val="en-GB"/>
        </w:rPr>
        <w:t>continue</w:t>
      </w:r>
      <w:r>
        <w:rPr>
          <w:rFonts w:eastAsia="Calibri" w:cs="Times New Roman"/>
          <w:szCs w:val="20"/>
          <w:lang w:val="en-GB"/>
        </w:rPr>
        <w:t xml:space="preserve"> the discussion </w:t>
      </w:r>
      <w:r w:rsidR="000652DE">
        <w:rPr>
          <w:rFonts w:eastAsia="Calibri" w:cs="Times New Roman"/>
          <w:szCs w:val="20"/>
          <w:lang w:val="en-GB"/>
        </w:rPr>
        <w:t>on</w:t>
      </w:r>
      <w:r w:rsidR="13E2636A" w:rsidRPr="798DE98A">
        <w:rPr>
          <w:rFonts w:eastAsia="Calibri" w:cs="Times New Roman"/>
          <w:lang w:val="en-GB"/>
        </w:rPr>
        <w:t xml:space="preserve"> </w:t>
      </w:r>
      <w:r w:rsidR="000652DE">
        <w:rPr>
          <w:rFonts w:eastAsia="Calibri" w:cs="Times New Roman"/>
          <w:lang w:val="en-GB"/>
        </w:rPr>
        <w:t xml:space="preserve">FR2 inter-band </w:t>
      </w:r>
      <w:r w:rsidR="002645DC">
        <w:rPr>
          <w:rFonts w:eastAsia="Calibri" w:cs="Times New Roman"/>
          <w:lang w:val="en-GB"/>
        </w:rPr>
        <w:t xml:space="preserve">DL </w:t>
      </w:r>
      <w:r w:rsidR="000652DE">
        <w:rPr>
          <w:rFonts w:eastAsia="Calibri" w:cs="Times New Roman"/>
          <w:lang w:val="en-GB"/>
        </w:rPr>
        <w:t xml:space="preserve">CA </w:t>
      </w:r>
      <w:r w:rsidR="13E2636A" w:rsidRPr="798DE98A">
        <w:rPr>
          <w:rFonts w:eastAsia="Calibri" w:cs="Times New Roman"/>
          <w:lang w:val="en-GB"/>
        </w:rPr>
        <w:t xml:space="preserve">MRTD </w:t>
      </w:r>
      <w:r w:rsidR="006F13F3">
        <w:rPr>
          <w:rFonts w:eastAsia="Calibri" w:cs="Times New Roman"/>
          <w:lang w:val="en-GB"/>
        </w:rPr>
        <w:t>related requirements</w:t>
      </w:r>
      <w:r w:rsidR="000652DE">
        <w:rPr>
          <w:rFonts w:eastAsia="Calibri" w:cs="Times New Roman"/>
          <w:lang w:val="en-GB"/>
        </w:rPr>
        <w:t xml:space="preserve"> for CBM capable UE</w:t>
      </w:r>
      <w:r w:rsidRPr="798DE98A">
        <w:rPr>
          <w:rFonts w:eastAsia="Calibri" w:cs="Times New Roman"/>
          <w:lang w:val="en-GB"/>
        </w:rPr>
        <w:t>.</w:t>
      </w:r>
    </w:p>
    <w:p w14:paraId="2FF6A72B" w14:textId="77777777" w:rsidR="003B659E" w:rsidRPr="00841BCD" w:rsidRDefault="003B659E" w:rsidP="00AE56B1">
      <w:pPr>
        <w:pStyle w:val="RAN4H1"/>
      </w:pPr>
      <w:r w:rsidRPr="00AE56B1">
        <w:t>Discussion</w:t>
      </w:r>
    </w:p>
    <w:p w14:paraId="196E95C0" w14:textId="7C5E4C09" w:rsidR="001D21AB" w:rsidRDefault="2C0233E9" w:rsidP="798DE98A">
      <w:pPr>
        <w:ind w:right="-22"/>
        <w:rPr>
          <w:rFonts w:eastAsia="Calibri" w:cs="Times New Roman"/>
          <w:lang w:val="en-GB"/>
        </w:rPr>
      </w:pPr>
      <w:r w:rsidRPr="35CD462C">
        <w:rPr>
          <w:rFonts w:eastAsia="Calibri" w:cs="Times New Roman"/>
          <w:lang w:val="en-GB"/>
        </w:rPr>
        <w:t>In Rel-16 RAN4 defined UE requirements for inter-band CA in FR2 for UEs supporting independent beam management (IBM). The requirements were developed in a gener</w:t>
      </w:r>
      <w:r w:rsidR="0E3FB5C6" w:rsidRPr="35CD462C">
        <w:rPr>
          <w:rFonts w:eastAsia="Calibri" w:cs="Times New Roman"/>
          <w:lang w:val="en-GB"/>
        </w:rPr>
        <w:t>ic</w:t>
      </w:r>
      <w:r w:rsidRPr="35CD462C">
        <w:rPr>
          <w:rFonts w:eastAsia="Calibri" w:cs="Times New Roman"/>
          <w:lang w:val="en-GB"/>
        </w:rPr>
        <w:t xml:space="preserve"> manner without limiting the requirements to co</w:t>
      </w:r>
      <w:r w:rsidR="0A39D71A" w:rsidRPr="35CD462C">
        <w:rPr>
          <w:rFonts w:eastAsia="Calibri" w:cs="Times New Roman"/>
          <w:lang w:val="en-GB"/>
        </w:rPr>
        <w:t>-</w:t>
      </w:r>
      <w:r w:rsidRPr="35CD462C">
        <w:rPr>
          <w:rFonts w:eastAsia="Calibri" w:cs="Times New Roman"/>
          <w:lang w:val="en-GB"/>
        </w:rPr>
        <w:t>located deployments or no</w:t>
      </w:r>
      <w:r w:rsidR="0436EFAC" w:rsidRPr="35CD462C">
        <w:rPr>
          <w:rFonts w:eastAsia="Calibri" w:cs="Times New Roman"/>
          <w:lang w:val="en-GB"/>
        </w:rPr>
        <w:t xml:space="preserve">t </w:t>
      </w:r>
      <w:r w:rsidRPr="35CD462C">
        <w:rPr>
          <w:rFonts w:eastAsia="Calibri" w:cs="Times New Roman"/>
          <w:lang w:val="en-GB"/>
        </w:rPr>
        <w:t>co</w:t>
      </w:r>
      <w:r w:rsidR="6C8747C2" w:rsidRPr="35CD462C">
        <w:rPr>
          <w:rFonts w:eastAsia="Calibri" w:cs="Times New Roman"/>
          <w:lang w:val="en-GB"/>
        </w:rPr>
        <w:t>-</w:t>
      </w:r>
      <w:r w:rsidRPr="35CD462C">
        <w:rPr>
          <w:rFonts w:eastAsia="Calibri" w:cs="Times New Roman"/>
          <w:lang w:val="en-GB"/>
        </w:rPr>
        <w:t xml:space="preserve">located deployments. </w:t>
      </w:r>
      <w:r w:rsidR="3A0C56AE" w:rsidRPr="35CD462C">
        <w:rPr>
          <w:rFonts w:eastAsia="Calibri" w:cs="Times New Roman"/>
          <w:lang w:val="en-GB"/>
        </w:rPr>
        <w:t>Inter-band CA requirements for CBM capable UE was not developed in Rel-16.</w:t>
      </w:r>
      <w:r w:rsidR="00E66DE3">
        <w:rPr>
          <w:rFonts w:eastAsia="Calibri" w:cs="Times New Roman"/>
          <w:lang w:val="en-GB"/>
        </w:rPr>
        <w:t xml:space="preserve"> For Rel-17 RA</w:t>
      </w:r>
      <w:r w:rsidR="00E805C6">
        <w:rPr>
          <w:rFonts w:eastAsia="Calibri" w:cs="Times New Roman"/>
          <w:lang w:val="en-GB"/>
        </w:rPr>
        <w:t>N</w:t>
      </w:r>
      <w:r w:rsidR="00E66DE3">
        <w:rPr>
          <w:rFonts w:eastAsia="Calibri" w:cs="Times New Roman"/>
          <w:lang w:val="en-GB"/>
        </w:rPr>
        <w:t xml:space="preserve">4 is to develop RRM </w:t>
      </w:r>
      <w:r w:rsidR="00717E99">
        <w:rPr>
          <w:rFonts w:eastAsia="Calibri" w:cs="Times New Roman"/>
          <w:lang w:val="en-GB"/>
        </w:rPr>
        <w:t>i</w:t>
      </w:r>
      <w:r w:rsidR="00717E99" w:rsidRPr="35CD462C">
        <w:rPr>
          <w:rFonts w:eastAsia="Calibri" w:cs="Times New Roman"/>
          <w:lang w:val="en-GB"/>
        </w:rPr>
        <w:t>nter-band CA requirements for CBM capable UE</w:t>
      </w:r>
      <w:r w:rsidR="00717E99">
        <w:rPr>
          <w:rFonts w:eastAsia="Calibri" w:cs="Times New Roman"/>
          <w:lang w:val="en-GB"/>
        </w:rPr>
        <w:t xml:space="preserve"> for DL and UL CA for </w:t>
      </w:r>
      <w:r w:rsidR="00791F94">
        <w:rPr>
          <w:rFonts w:eastAsia="Calibri" w:cs="Times New Roman"/>
          <w:lang w:val="en-GB"/>
        </w:rPr>
        <w:t>an IBM capable UE.</w:t>
      </w:r>
      <w:r w:rsidR="002133B1">
        <w:rPr>
          <w:rFonts w:eastAsia="Calibri" w:cs="Times New Roman"/>
          <w:lang w:val="en-GB"/>
        </w:rPr>
        <w:t xml:space="preserve"> In this paper, we will </w:t>
      </w:r>
      <w:r w:rsidR="0025270A">
        <w:rPr>
          <w:rFonts w:eastAsia="Calibri" w:cs="Times New Roman"/>
          <w:lang w:val="en-GB"/>
        </w:rPr>
        <w:t xml:space="preserve">discuss the MRTD requirements </w:t>
      </w:r>
      <w:r w:rsidR="00DD6987">
        <w:rPr>
          <w:rFonts w:eastAsia="Calibri" w:cs="Times New Roman"/>
          <w:lang w:val="en-GB"/>
        </w:rPr>
        <w:t>for</w:t>
      </w:r>
      <w:r w:rsidR="0025270A">
        <w:rPr>
          <w:rFonts w:eastAsia="Calibri" w:cs="Times New Roman"/>
          <w:lang w:val="en-GB"/>
        </w:rPr>
        <w:t xml:space="preserve"> FR2 inter-band</w:t>
      </w:r>
      <w:r w:rsidR="00DF357C">
        <w:rPr>
          <w:rFonts w:eastAsia="Calibri" w:cs="Times New Roman"/>
          <w:lang w:val="en-GB"/>
        </w:rPr>
        <w:t xml:space="preserve"> DL</w:t>
      </w:r>
      <w:r w:rsidR="0025270A">
        <w:rPr>
          <w:rFonts w:eastAsia="Calibri" w:cs="Times New Roman"/>
          <w:lang w:val="en-GB"/>
        </w:rPr>
        <w:t xml:space="preserve"> CA</w:t>
      </w:r>
      <w:r w:rsidR="00DD6987">
        <w:rPr>
          <w:rFonts w:eastAsia="Calibri" w:cs="Times New Roman"/>
          <w:lang w:val="en-GB"/>
        </w:rPr>
        <w:t xml:space="preserve"> for CBM capable UE</w:t>
      </w:r>
      <w:r w:rsidR="00DB36F7">
        <w:rPr>
          <w:rFonts w:eastAsia="Calibri" w:cs="Times New Roman"/>
          <w:lang w:val="en-GB"/>
        </w:rPr>
        <w:t xml:space="preserve"> based on discussion and outcome in previous meetings</w:t>
      </w:r>
      <w:r w:rsidR="0025270A">
        <w:rPr>
          <w:rFonts w:eastAsia="Calibri" w:cs="Times New Roman"/>
          <w:lang w:val="en-GB"/>
        </w:rPr>
        <w:t>.</w:t>
      </w:r>
    </w:p>
    <w:p w14:paraId="2875B542" w14:textId="27656B64" w:rsidR="798DE98A" w:rsidRDefault="798DE98A" w:rsidP="798DE98A">
      <w:pPr>
        <w:ind w:right="-22"/>
      </w:pPr>
    </w:p>
    <w:p w14:paraId="61421A04" w14:textId="14D18317" w:rsidR="00451E44" w:rsidRDefault="00451E44" w:rsidP="00451E44">
      <w:pPr>
        <w:pStyle w:val="RAN4H2"/>
      </w:pPr>
      <w:r>
        <w:t xml:space="preserve">MRTD for </w:t>
      </w:r>
      <w:r w:rsidR="00DB36F7">
        <w:t xml:space="preserve">FR2 </w:t>
      </w:r>
      <w:r>
        <w:t>inter-band DL CA for CBM capable UE</w:t>
      </w:r>
    </w:p>
    <w:p w14:paraId="2FE0926B" w14:textId="29C4BC54" w:rsidR="000B6BCA" w:rsidRPr="000B6BCA" w:rsidRDefault="009116AB" w:rsidP="000B6BCA">
      <w:pPr>
        <w:ind w:right="-22"/>
        <w:rPr>
          <w:rFonts w:eastAsiaTheme="minorEastAsia"/>
          <w:lang w:eastAsia="zh-CN"/>
        </w:rPr>
      </w:pPr>
      <w:r>
        <w:t>B</w:t>
      </w:r>
      <w:r w:rsidR="00447816">
        <w:t>ased on the agre</w:t>
      </w:r>
      <w:r w:rsidR="00447816">
        <w:rPr>
          <w:rFonts w:hint="eastAsia"/>
        </w:rPr>
        <w:t>e</w:t>
      </w:r>
      <w:r w:rsidR="00447816">
        <w:t xml:space="preserve">ments </w:t>
      </w:r>
      <w:r>
        <w:t xml:space="preserve">and discussion </w:t>
      </w:r>
      <w:r w:rsidR="00447816">
        <w:t xml:space="preserve">of the MRTD requirements for FR2 inter-band DL CA for CBM capable UE in </w:t>
      </w:r>
      <w:r>
        <w:t>the past RAN4 meetings</w:t>
      </w:r>
      <w:r w:rsidR="00447816">
        <w:t>,</w:t>
      </w:r>
      <w:r w:rsidR="00451E44">
        <w:t xml:space="preserve"> </w:t>
      </w:r>
      <w:r>
        <w:t xml:space="preserve">the </w:t>
      </w:r>
      <w:r w:rsidR="000B6BCA">
        <w:t xml:space="preserve">main remaining issues on MRTD for FR2 inter-band DL CA for CBM capable UE are UE Rx beam switch time and the performance </w:t>
      </w:r>
      <w:r w:rsidR="000B6BCA" w:rsidRPr="000B6BCA">
        <w:rPr>
          <w:rFonts w:eastAsiaTheme="minorEastAsia"/>
          <w:lang w:eastAsia="zh-CN"/>
        </w:rPr>
        <w:t>degradation impact and solution when receive time difference exceeds [X].</w:t>
      </w:r>
    </w:p>
    <w:p w14:paraId="730AC9A0" w14:textId="77777777" w:rsidR="000B6BCA" w:rsidRDefault="000B6BCA" w:rsidP="00034E66">
      <w:pPr>
        <w:pStyle w:val="RAN4H3"/>
      </w:pPr>
      <w:r w:rsidRPr="001A0ABD">
        <w:t>UE Rx beam switch time</w:t>
      </w:r>
    </w:p>
    <w:p w14:paraId="79694ED8" w14:textId="7BAFD5D2" w:rsidR="00447816" w:rsidRDefault="00717810" w:rsidP="00451E44">
      <w:pPr>
        <w:ind w:right="-22"/>
      </w:pPr>
      <w:r>
        <w:t xml:space="preserve">As agreed on GTW in </w:t>
      </w:r>
      <w:r w:rsidR="0098281B">
        <w:t>RAN4#100e</w:t>
      </w:r>
      <w:r>
        <w:t xml:space="preserve"> meeting, </w:t>
      </w:r>
      <w:r w:rsidR="0098281B">
        <w:t xml:space="preserve">RF session started the discussion of </w:t>
      </w:r>
      <w:r>
        <w:t xml:space="preserve">the UE Rx beam switch </w:t>
      </w:r>
      <w:r w:rsidR="0098281B">
        <w:t>in last meeting</w:t>
      </w:r>
      <w:r w:rsidR="000B0BAD">
        <w:t xml:space="preserve"> while no conclusion was reached.</w:t>
      </w:r>
      <w:r w:rsidR="00FE2D05">
        <w:t xml:space="preserve"> </w:t>
      </w:r>
      <w:r w:rsidR="000B0BAD">
        <w:t xml:space="preserve">The </w:t>
      </w:r>
      <w:r w:rsidR="00FE2D05">
        <w:t>discussion will be continued in RF session</w:t>
      </w:r>
      <w:r w:rsidR="000B0BAD">
        <w:t xml:space="preserve"> in this RAN4 meeting</w:t>
      </w:r>
      <w:r>
        <w:t>.</w:t>
      </w:r>
      <w:r w:rsidR="0098281B">
        <w:t xml:space="preserve"> </w:t>
      </w:r>
      <w:r>
        <w:t xml:space="preserve"> </w:t>
      </w:r>
      <w:r w:rsidR="00D71E08">
        <w:t xml:space="preserve">we have discussed and shared </w:t>
      </w:r>
      <w:r w:rsidR="00447816">
        <w:t>our analysis in [</w:t>
      </w:r>
      <w:r w:rsidR="002E12F4">
        <w:t>3</w:t>
      </w:r>
      <w:r w:rsidR="00447816">
        <w:t>]</w:t>
      </w:r>
      <w:r>
        <w:t xml:space="preserve"> which will be in RF session</w:t>
      </w:r>
      <w:r w:rsidR="00447816">
        <w:t xml:space="preserve">, we </w:t>
      </w:r>
      <w:r w:rsidR="00567B0B">
        <w:t xml:space="preserve">propose 60ns for UE Rx beam switch. </w:t>
      </w:r>
    </w:p>
    <w:p w14:paraId="20E33639" w14:textId="6D55B33A" w:rsidR="00571327" w:rsidRPr="005E7250" w:rsidRDefault="00571327" w:rsidP="00034E66">
      <w:pPr>
        <w:pStyle w:val="RAN4observation0"/>
      </w:pPr>
      <w:r>
        <w:t xml:space="preserve">The </w:t>
      </w:r>
      <w:r w:rsidR="00142289">
        <w:t xml:space="preserve">UE Rx beam switch time is </w:t>
      </w:r>
      <w:r w:rsidR="009E649B">
        <w:t xml:space="preserve">discussed in RF session AI </w:t>
      </w:r>
      <w:r w:rsidR="00FE2D05">
        <w:t>10</w:t>
      </w:r>
      <w:r w:rsidR="00823B1D">
        <w:t>.4.2.1.4</w:t>
      </w:r>
      <w:r w:rsidR="00142289">
        <w:t xml:space="preserve">. </w:t>
      </w:r>
    </w:p>
    <w:p w14:paraId="692690FB" w14:textId="6438A250" w:rsidR="00142289" w:rsidRPr="00B13B02" w:rsidRDefault="00142289" w:rsidP="00034E66">
      <w:pPr>
        <w:pStyle w:val="RAN4H3"/>
        <w:rPr>
          <w:lang w:eastAsia="zh-CN"/>
        </w:rPr>
      </w:pPr>
      <w:r w:rsidRPr="008A005F">
        <w:rPr>
          <w:lang w:eastAsia="zh-CN"/>
        </w:rPr>
        <w:t>Performance degradation and solution when receive time difference exceeds [X]</w:t>
      </w:r>
    </w:p>
    <w:p w14:paraId="7250E8C4" w14:textId="77777777" w:rsidR="00B4564C" w:rsidRDefault="00142289" w:rsidP="00142289">
      <w:pPr>
        <w:ind w:right="-22"/>
        <w:rPr>
          <w:rFonts w:eastAsiaTheme="minorEastAsia"/>
          <w:lang w:eastAsia="zh-CN"/>
        </w:rPr>
      </w:pPr>
      <w:r>
        <w:rPr>
          <w:rFonts w:eastAsiaTheme="minorEastAsia"/>
          <w:lang w:eastAsia="zh-CN"/>
        </w:rPr>
        <w:t xml:space="preserve">In last RAN4 meeting, we discussed the performance degradation and solution when receive time difference exceeds the threshold [X], companies have </w:t>
      </w:r>
      <w:r w:rsidR="001A0ABD">
        <w:rPr>
          <w:rFonts w:eastAsiaTheme="minorEastAsia"/>
          <w:lang w:eastAsia="zh-CN"/>
        </w:rPr>
        <w:t>different thinking based on network driven Rx beam switch and UE autonomous Rx beam switch</w:t>
      </w:r>
      <w:r w:rsidR="00B4564C">
        <w:rPr>
          <w:rFonts w:eastAsiaTheme="minorEastAsia"/>
          <w:lang w:eastAsia="zh-CN"/>
        </w:rPr>
        <w:t xml:space="preserve">. </w:t>
      </w:r>
    </w:p>
    <w:p w14:paraId="24FE9B0B" w14:textId="77777777" w:rsidR="00B4564C" w:rsidRPr="00920B8B" w:rsidRDefault="00B4564C" w:rsidP="00B4564C">
      <w:pPr>
        <w:ind w:right="-22"/>
        <w:rPr>
          <w:rFonts w:eastAsiaTheme="minorEastAsia"/>
          <w:u w:val="single"/>
          <w:lang w:eastAsia="zh-CN"/>
        </w:rPr>
      </w:pPr>
      <w:r w:rsidRPr="00920B8B">
        <w:rPr>
          <w:rFonts w:eastAsiaTheme="minorEastAsia"/>
          <w:b/>
          <w:bCs/>
          <w:u w:val="single"/>
          <w:lang w:eastAsia="zh-CN"/>
        </w:rPr>
        <w:t>Case 1:</w:t>
      </w:r>
      <w:r w:rsidRPr="00920B8B">
        <w:rPr>
          <w:rFonts w:eastAsiaTheme="minorEastAsia"/>
          <w:u w:val="single"/>
          <w:lang w:eastAsia="zh-CN"/>
        </w:rPr>
        <w:t xml:space="preserve"> Performance degradation impact due to network driven Rx beam switch i.e. TCI state change</w:t>
      </w:r>
    </w:p>
    <w:p w14:paraId="6BB7D4DD" w14:textId="5D070B7F" w:rsidR="00142289" w:rsidRPr="00142289" w:rsidRDefault="00B4564C" w:rsidP="00142289">
      <w:pPr>
        <w:ind w:right="-22"/>
        <w:rPr>
          <w:rFonts w:eastAsiaTheme="minorEastAsia"/>
          <w:lang w:eastAsia="zh-CN"/>
        </w:rPr>
      </w:pPr>
      <w:r>
        <w:rPr>
          <w:rFonts w:eastAsiaTheme="minorEastAsia"/>
          <w:lang w:eastAsia="zh-CN"/>
        </w:rPr>
        <w:t xml:space="preserve">For network driven Rx beam switch, </w:t>
      </w:r>
      <w:r w:rsidR="001A0ABD">
        <w:rPr>
          <w:rFonts w:eastAsiaTheme="minorEastAsia"/>
          <w:lang w:eastAsia="zh-CN"/>
        </w:rPr>
        <w:t>it was captured as agreement on GTW as below:</w:t>
      </w:r>
    </w:p>
    <w:tbl>
      <w:tblPr>
        <w:tblStyle w:val="TableGrid"/>
        <w:tblW w:w="0" w:type="auto"/>
        <w:tblLook w:val="04A0" w:firstRow="1" w:lastRow="0" w:firstColumn="1" w:lastColumn="0" w:noHBand="0" w:noVBand="1"/>
      </w:tblPr>
      <w:tblGrid>
        <w:gridCol w:w="9617"/>
      </w:tblGrid>
      <w:tr w:rsidR="00FE7841" w14:paraId="25D8D858" w14:textId="77777777" w:rsidTr="00E3018A">
        <w:tc>
          <w:tcPr>
            <w:tcW w:w="9617" w:type="dxa"/>
          </w:tcPr>
          <w:p w14:paraId="0ED1984A" w14:textId="77777777" w:rsidR="00FE7841" w:rsidRDefault="00FE7841" w:rsidP="00FE7841">
            <w:pPr>
              <w:spacing w:after="120" w:line="256" w:lineRule="auto"/>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19CC00A3" w14:textId="77777777" w:rsidR="00FE7841" w:rsidRDefault="00FE7841" w:rsidP="00FE7841">
            <w:pPr>
              <w:tabs>
                <w:tab w:val="left" w:pos="2277"/>
              </w:tabs>
              <w:spacing w:after="120" w:line="256" w:lineRule="auto"/>
              <w:rPr>
                <w:i/>
                <w:iCs/>
                <w:color w:val="0070C0"/>
                <w:szCs w:val="24"/>
                <w:lang w:eastAsia="zh-CN"/>
              </w:rPr>
            </w:pPr>
            <w:r>
              <w:rPr>
                <w:i/>
                <w:iCs/>
                <w:color w:val="0070C0"/>
                <w:szCs w:val="24"/>
                <w:lang w:eastAsia="zh-CN"/>
              </w:rPr>
              <w:t>Agreement on GTW (Jan.24):</w:t>
            </w:r>
          </w:p>
          <w:p w14:paraId="42413812" w14:textId="77777777" w:rsidR="00FE7841" w:rsidRDefault="00FE7841" w:rsidP="00FE7841">
            <w:pPr>
              <w:pStyle w:val="ListParagraph"/>
              <w:numPr>
                <w:ilvl w:val="1"/>
                <w:numId w:val="16"/>
              </w:numPr>
              <w:autoSpaceDN w:val="0"/>
              <w:spacing w:after="120" w:line="256" w:lineRule="auto"/>
              <w:ind w:left="1010"/>
              <w:contextualSpacing w:val="0"/>
              <w:rPr>
                <w:color w:val="0070C0"/>
                <w:szCs w:val="20"/>
                <w:lang w:val="en-GB" w:eastAsia="ja-JP"/>
              </w:rPr>
            </w:pPr>
            <w:r>
              <w:rPr>
                <w:color w:val="0070C0"/>
              </w:rPr>
              <w:lastRenderedPageBreak/>
              <w:t>Performance</w:t>
            </w:r>
            <w:r>
              <w:rPr>
                <w:color w:val="0070C0"/>
                <w:lang w:eastAsia="ja-JP"/>
              </w:rPr>
              <w:t xml:space="preserve"> degradation due to network driven Rx beam switch e.g. TCI state change (Case 1) </w:t>
            </w:r>
          </w:p>
          <w:p w14:paraId="5B10CF9F" w14:textId="77777777" w:rsidR="00FE7841" w:rsidRDefault="00FE7841" w:rsidP="00FE7841">
            <w:pPr>
              <w:pStyle w:val="ListParagraph"/>
              <w:numPr>
                <w:ilvl w:val="2"/>
                <w:numId w:val="16"/>
              </w:numPr>
              <w:autoSpaceDN w:val="0"/>
              <w:spacing w:after="120" w:line="256" w:lineRule="auto"/>
              <w:contextualSpacing w:val="0"/>
              <w:rPr>
                <w:color w:val="0070C0"/>
                <w:lang w:eastAsia="ja-JP"/>
              </w:rPr>
            </w:pPr>
            <w:r>
              <w:rPr>
                <w:color w:val="0070C0"/>
              </w:rPr>
              <w:t>Performance</w:t>
            </w:r>
            <w:r>
              <w:rPr>
                <w:color w:val="0070C0"/>
                <w:lang w:eastAsia="ja-JP"/>
              </w:rPr>
              <w:t xml:space="preserve"> degradation will be specified as a note in MRTD clause</w:t>
            </w:r>
          </w:p>
          <w:p w14:paraId="2EF9F2BC" w14:textId="77777777" w:rsidR="00FE7841" w:rsidRDefault="00FE7841" w:rsidP="00FE7841">
            <w:pPr>
              <w:pStyle w:val="ListParagraph"/>
              <w:numPr>
                <w:ilvl w:val="2"/>
                <w:numId w:val="16"/>
              </w:numPr>
              <w:autoSpaceDN w:val="0"/>
              <w:spacing w:after="120" w:line="256" w:lineRule="auto"/>
              <w:contextualSpacing w:val="0"/>
              <w:rPr>
                <w:color w:val="0070C0"/>
                <w:lang w:eastAsia="ja-JP"/>
              </w:rPr>
            </w:pPr>
            <w:r>
              <w:rPr>
                <w:color w:val="0070C0"/>
              </w:rPr>
              <w:t>Option</w:t>
            </w:r>
            <w:r>
              <w:rPr>
                <w:color w:val="0070C0"/>
                <w:lang w:eastAsia="ja-JP"/>
              </w:rPr>
              <w:t xml:space="preserve"> 1: If the receive time difference exceeds [X] of that SCS, demodulation performance degradation is expected for the first or the last symbol of the slot in the SCells of the other band, where X is defined in Table 7.6.4.</w:t>
            </w:r>
          </w:p>
          <w:p w14:paraId="4AFEA3A5" w14:textId="6A0194BD" w:rsidR="00FE7841" w:rsidRPr="00FE7841" w:rsidRDefault="00FE7841" w:rsidP="00FE7841">
            <w:pPr>
              <w:pStyle w:val="ListParagraph"/>
              <w:numPr>
                <w:ilvl w:val="2"/>
                <w:numId w:val="16"/>
              </w:numPr>
              <w:autoSpaceDN w:val="0"/>
              <w:spacing w:after="120" w:line="256" w:lineRule="auto"/>
              <w:contextualSpacing w:val="0"/>
              <w:rPr>
                <w:color w:val="0070C0"/>
                <w:lang w:eastAsia="ja-JP"/>
              </w:rPr>
            </w:pPr>
            <w:r>
              <w:rPr>
                <w:color w:val="0070C0"/>
                <w:lang w:eastAsia="ja-JP"/>
              </w:rPr>
              <w:t>Option 2: If the receive time difference exceeds [X] of that SCS, demodulation performance degradation is expected for the first symbol of the SCell of the other band, where X is defined in Table 7.6.4.</w:t>
            </w:r>
          </w:p>
        </w:tc>
      </w:tr>
    </w:tbl>
    <w:p w14:paraId="118A100A" w14:textId="1F0F51F8" w:rsidR="00E3018A" w:rsidRDefault="00E3018A" w:rsidP="0013691A">
      <w:pPr>
        <w:ind w:right="-22"/>
        <w:rPr>
          <w:rFonts w:eastAsiaTheme="minorEastAsia"/>
          <w:lang w:eastAsia="zh-CN"/>
        </w:rPr>
      </w:pPr>
    </w:p>
    <w:p w14:paraId="165CD065" w14:textId="06568AD8" w:rsidR="002E08B6" w:rsidRPr="002E08B6" w:rsidRDefault="002E08B6" w:rsidP="002E08B6">
      <w:pPr>
        <w:spacing w:after="120"/>
        <w:rPr>
          <w:szCs w:val="24"/>
          <w:lang w:eastAsia="zh-CN"/>
        </w:rPr>
      </w:pPr>
      <w:r w:rsidRPr="002E08B6">
        <w:rPr>
          <w:szCs w:val="24"/>
          <w:lang w:eastAsia="zh-CN"/>
        </w:rPr>
        <w:t xml:space="preserve">When considering network </w:t>
      </w:r>
      <w:r>
        <w:rPr>
          <w:szCs w:val="24"/>
          <w:lang w:eastAsia="zh-CN"/>
        </w:rPr>
        <w:t>driven</w:t>
      </w:r>
      <w:r w:rsidRPr="002E08B6">
        <w:rPr>
          <w:szCs w:val="24"/>
          <w:lang w:eastAsia="zh-CN"/>
        </w:rPr>
        <w:t xml:space="preserve"> UE RX beam switch we are discussing TCI state change. For TCI state change we already have clear UE requirements when considering single band operation. For this case we’re discussing inter-band CA for CBM capable UE. I</w:t>
      </w:r>
      <w:r w:rsidR="001F0F9B">
        <w:rPr>
          <w:szCs w:val="24"/>
          <w:lang w:eastAsia="zh-CN"/>
        </w:rPr>
        <w:t>n</w:t>
      </w:r>
      <w:r w:rsidRPr="002E08B6">
        <w:rPr>
          <w:szCs w:val="24"/>
          <w:lang w:eastAsia="zh-CN"/>
        </w:rPr>
        <w:t xml:space="preserve"> this case the BM RS is in the band in which the UL BWP is located. Hence, the TCI state change will not impact the band in which the BM RS is located but may impact the band in which the BM RS is not located.</w:t>
      </w:r>
    </w:p>
    <w:p w14:paraId="01B35E14" w14:textId="411945DA" w:rsidR="002E08B6" w:rsidRPr="002E08B6" w:rsidRDefault="002E08B6" w:rsidP="002E08B6">
      <w:pPr>
        <w:spacing w:after="120"/>
        <w:rPr>
          <w:szCs w:val="24"/>
          <w:lang w:eastAsia="zh-CN"/>
        </w:rPr>
      </w:pPr>
      <w:r w:rsidRPr="002E08B6">
        <w:rPr>
          <w:szCs w:val="24"/>
          <w:lang w:eastAsia="zh-CN"/>
        </w:rPr>
        <w:t xml:space="preserve">A TCI state change is strictly network controlled and hence network is very well aware when such UE beam change happens – and RAN4 has clear delay requirements. For the inter-band CBM case there may be an impact in the band not containing the BM RS. </w:t>
      </w:r>
    </w:p>
    <w:p w14:paraId="592CDF42" w14:textId="16B95E12" w:rsidR="002E08B6" w:rsidRDefault="002E08B6" w:rsidP="002E08B6">
      <w:pPr>
        <w:spacing w:after="120"/>
        <w:rPr>
          <w:color w:val="4472C4" w:themeColor="accent1"/>
          <w:szCs w:val="24"/>
          <w:lang w:eastAsia="zh-CN"/>
        </w:rPr>
      </w:pPr>
      <w:r w:rsidRPr="002E08B6">
        <w:rPr>
          <w:szCs w:val="24"/>
          <w:lang w:eastAsia="zh-CN"/>
        </w:rPr>
        <w:t xml:space="preserve">As the TCI state is controlled and not left for UE implementation the UE performance degradation can be well defined and only allowed when a TCI state change is requested </w:t>
      </w:r>
      <w:r w:rsidR="00B13B02">
        <w:rPr>
          <w:szCs w:val="24"/>
          <w:lang w:eastAsia="zh-CN"/>
        </w:rPr>
        <w:t xml:space="preserve">by the network </w:t>
      </w:r>
      <w:r w:rsidRPr="002E08B6">
        <w:rPr>
          <w:szCs w:val="24"/>
          <w:lang w:eastAsia="zh-CN"/>
        </w:rPr>
        <w:t>and only with limited symbol impact. The impact may – as we see it – be either before the actual TCI state change OR after the TCI state change</w:t>
      </w:r>
      <w:r w:rsidR="005B6D53">
        <w:rPr>
          <w:szCs w:val="24"/>
          <w:lang w:eastAsia="zh-CN"/>
        </w:rPr>
        <w:t xml:space="preserve"> and in the band not containing the BM-RS</w:t>
      </w:r>
      <w:r w:rsidRPr="002E08B6">
        <w:rPr>
          <w:szCs w:val="24"/>
          <w:lang w:eastAsia="zh-CN"/>
        </w:rPr>
        <w:t>. But we do not see a need to have loss both before and after the TCI state change.</w:t>
      </w:r>
    </w:p>
    <w:p w14:paraId="297DD773" w14:textId="77777777" w:rsidR="002E08B6" w:rsidRPr="002E08B6" w:rsidRDefault="002E08B6" w:rsidP="002E08B6">
      <w:pPr>
        <w:spacing w:after="120"/>
        <w:rPr>
          <w:szCs w:val="24"/>
          <w:lang w:eastAsia="zh-CN"/>
        </w:rPr>
      </w:pPr>
      <w:r w:rsidRPr="002E08B6">
        <w:rPr>
          <w:szCs w:val="24"/>
          <w:lang w:eastAsia="zh-CN"/>
        </w:rPr>
        <w:t>We propose for TCI state change initiated UE Rx beam change:</w:t>
      </w:r>
    </w:p>
    <w:p w14:paraId="5BBF138B" w14:textId="0C15FE01" w:rsidR="002E08B6" w:rsidRDefault="002E08B6" w:rsidP="002E08B6">
      <w:pPr>
        <w:spacing w:after="120"/>
        <w:ind w:left="284"/>
        <w:rPr>
          <w:szCs w:val="24"/>
          <w:lang w:eastAsia="zh-CN"/>
        </w:rPr>
      </w:pPr>
      <w:r w:rsidRPr="002E08B6">
        <w:rPr>
          <w:szCs w:val="24"/>
          <w:lang w:eastAsia="zh-CN"/>
        </w:rPr>
        <w:t>Up to 1 symbol impact is allowed for UE Rx beam switching due to TCI state change either immediately before or immediately after the UE Rx beam change in the band not containing the BM RS.</w:t>
      </w:r>
    </w:p>
    <w:p w14:paraId="42BE1294" w14:textId="623D0441" w:rsidR="00E94DDB" w:rsidRDefault="00261517" w:rsidP="00E94DDB">
      <w:pPr>
        <w:spacing w:after="120"/>
      </w:pPr>
      <w:r>
        <w:rPr>
          <w:szCs w:val="24"/>
          <w:lang w:eastAsia="zh-CN"/>
        </w:rPr>
        <w:t xml:space="preserve">The impacted symbol could be </w:t>
      </w:r>
      <w:r w:rsidRPr="00261517">
        <w:rPr>
          <w:szCs w:val="24"/>
          <w:lang w:eastAsia="zh-CN"/>
        </w:rPr>
        <w:t>either the first or the last symbol of the SCell slot</w:t>
      </w:r>
      <w:r>
        <w:rPr>
          <w:szCs w:val="24"/>
          <w:lang w:eastAsia="zh-CN"/>
        </w:rPr>
        <w:t xml:space="preserve">, it </w:t>
      </w:r>
      <w:r w:rsidRPr="00261517">
        <w:rPr>
          <w:szCs w:val="24"/>
          <w:lang w:eastAsia="zh-CN"/>
        </w:rPr>
        <w:t>depend</w:t>
      </w:r>
      <w:r w:rsidR="0020226F">
        <w:rPr>
          <w:szCs w:val="24"/>
          <w:lang w:eastAsia="zh-CN"/>
        </w:rPr>
        <w:t>s</w:t>
      </w:r>
      <w:r w:rsidRPr="00261517">
        <w:rPr>
          <w:szCs w:val="24"/>
          <w:lang w:eastAsia="zh-CN"/>
        </w:rPr>
        <w:t xml:space="preserve"> on </w:t>
      </w:r>
      <w:r>
        <w:rPr>
          <w:szCs w:val="24"/>
          <w:lang w:eastAsia="zh-CN"/>
        </w:rPr>
        <w:t>the slots in one</w:t>
      </w:r>
      <w:r w:rsidRPr="00261517">
        <w:rPr>
          <w:szCs w:val="24"/>
          <w:lang w:eastAsia="zh-CN"/>
        </w:rPr>
        <w:t xml:space="preserve"> CC </w:t>
      </w:r>
      <w:r>
        <w:t>arrive at UE RTD earlier or later than the slots in another CC.</w:t>
      </w:r>
    </w:p>
    <w:p w14:paraId="5AFD647F" w14:textId="77777777" w:rsidR="008300C8" w:rsidRDefault="00C17337" w:rsidP="007A7CD0">
      <w:pPr>
        <w:spacing w:after="120"/>
        <w:rPr>
          <w:lang w:eastAsia="ja-JP"/>
        </w:rPr>
      </w:pPr>
      <w:r w:rsidRPr="007A7CD0">
        <w:t>Since</w:t>
      </w:r>
      <w:r w:rsidR="00067DC0" w:rsidRPr="007A7CD0">
        <w:t xml:space="preserve"> the performance degradation will be happened only after UE receives</w:t>
      </w:r>
      <w:r w:rsidRPr="007A7CD0">
        <w:t xml:space="preserve"> TCI state change</w:t>
      </w:r>
      <w:r w:rsidR="00067DC0" w:rsidRPr="007A7CD0">
        <w:t xml:space="preserve"> driven by Network, </w:t>
      </w:r>
      <w:r w:rsidR="007A7CD0" w:rsidRPr="007A7CD0">
        <w:t>we should narrow down the impacted slot when UE receives TCI state change</w:t>
      </w:r>
      <w:r w:rsidR="0098500E">
        <w:t xml:space="preserve">. For MAC-CE based TCI state change, </w:t>
      </w:r>
      <w:r w:rsidR="0098500E">
        <w:rPr>
          <w:szCs w:val="20"/>
        </w:rPr>
        <w:t xml:space="preserve">the UE shall be able to receive PDCCH with the old TCI state until slot n+ </w:t>
      </w:r>
      <w:r w:rsidR="0098500E" w:rsidRPr="007A7CD0">
        <w:rPr>
          <w:rFonts w:eastAsia="Malgun Gothic"/>
          <w:lang w:eastAsia="zh-CN"/>
        </w:rPr>
        <w:t>T</w:t>
      </w:r>
      <w:r w:rsidR="0098500E" w:rsidRPr="007A7CD0">
        <w:rPr>
          <w:rFonts w:eastAsia="Malgun Gothic"/>
          <w:vertAlign w:val="subscript"/>
          <w:lang w:eastAsia="zh-CN"/>
        </w:rPr>
        <w:t>HARQ</w:t>
      </w:r>
      <w:r w:rsidR="0098500E" w:rsidRPr="007A7CD0">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8500E">
        <w:t xml:space="preserve">. </w:t>
      </w:r>
      <w:r w:rsidR="008300C8">
        <w:t>Hence, t</w:t>
      </w:r>
      <w:r w:rsidR="0098500E">
        <w:t xml:space="preserve">he performance degradation is expected only after </w:t>
      </w:r>
      <w:r w:rsidR="0098500E" w:rsidRPr="007A7CD0">
        <w:rPr>
          <w:lang w:eastAsia="ja-JP"/>
        </w:rPr>
        <w:t xml:space="preserve">the </w:t>
      </w:r>
      <w:r w:rsidR="0098500E" w:rsidRPr="007A7CD0">
        <w:rPr>
          <w:lang w:eastAsia="zh-CN"/>
        </w:rPr>
        <w:t>slot n+</w:t>
      </w:r>
      <w:r w:rsidR="0098500E" w:rsidRPr="007A7CD0">
        <w:rPr>
          <w:rFonts w:eastAsia="Malgun Gothic"/>
          <w:lang w:eastAsia="zh-CN"/>
        </w:rPr>
        <w:t xml:space="preserve"> T</w:t>
      </w:r>
      <w:r w:rsidR="0098500E" w:rsidRPr="007A7CD0">
        <w:rPr>
          <w:rFonts w:eastAsia="Malgun Gothic"/>
          <w:vertAlign w:val="subscript"/>
          <w:lang w:eastAsia="zh-CN"/>
        </w:rPr>
        <w:t>HARQ</w:t>
      </w:r>
      <w:r w:rsidR="0098500E" w:rsidRPr="007A7CD0">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8500E" w:rsidRPr="007A7CD0" w:rsidDel="00024E91">
        <w:rPr>
          <w:rFonts w:eastAsia="Malgun Gothic"/>
          <w:lang w:eastAsia="zh-CN"/>
        </w:rPr>
        <w:t xml:space="preserve"> </w:t>
      </w:r>
      <w:r w:rsidR="0098500E" w:rsidRPr="007A7CD0">
        <w:rPr>
          <w:lang w:eastAsia="ja-JP"/>
        </w:rPr>
        <w:t xml:space="preserve"> where UE switch it’s Rx beam due to </w:t>
      </w:r>
      <w:r w:rsidR="0098500E">
        <w:rPr>
          <w:lang w:eastAsia="ja-JP"/>
        </w:rPr>
        <w:t xml:space="preserve">MAC-CE based </w:t>
      </w:r>
      <w:r w:rsidR="0098500E" w:rsidRPr="007A7CD0">
        <w:rPr>
          <w:lang w:eastAsia="ja-JP"/>
        </w:rPr>
        <w:t>TCI state change</w:t>
      </w:r>
      <w:r w:rsidR="008300C8">
        <w:rPr>
          <w:lang w:eastAsia="ja-JP"/>
        </w:rPr>
        <w:t xml:space="preserve">. </w:t>
      </w:r>
    </w:p>
    <w:p w14:paraId="65918ACE" w14:textId="379766F3" w:rsidR="00F45598" w:rsidRDefault="00E82E15" w:rsidP="007A7CD0">
      <w:pPr>
        <w:spacing w:after="120"/>
        <w:rPr>
          <w:lang w:eastAsia="ja-JP"/>
        </w:rPr>
      </w:pPr>
      <w:r>
        <w:rPr>
          <w:lang w:eastAsia="ja-JP"/>
        </w:rPr>
        <w:t xml:space="preserve">For DCI based TCI state change, </w:t>
      </w:r>
      <w:r w:rsidR="00F45598">
        <w:rPr>
          <w:lang w:eastAsia="ja-JP"/>
        </w:rPr>
        <w:t>UE shall</w:t>
      </w:r>
      <w:r w:rsidR="00F45598" w:rsidRPr="009C6E0A">
        <w:rPr>
          <w:rFonts w:eastAsia="Malgun Gothic"/>
          <w:color w:val="4472C4" w:themeColor="accent1"/>
          <w:lang w:eastAsia="zh-CN"/>
        </w:rPr>
        <w:t xml:space="preserve"> </w:t>
      </w:r>
      <w:r w:rsidR="00F45598" w:rsidRPr="00F45598">
        <w:rPr>
          <w:rFonts w:eastAsia="Malgun Gothic"/>
          <w:lang w:eastAsia="zh-CN"/>
        </w:rPr>
        <w:t xml:space="preserve">perform PDCCH reception and </w:t>
      </w:r>
      <w:r w:rsidR="00F45598" w:rsidRPr="00F45598">
        <w:t xml:space="preserve">applying spatial QCL information received in DCI for PDSCH processing within </w:t>
      </w:r>
      <w:r w:rsidR="00F45598" w:rsidRPr="00F45598">
        <w:rPr>
          <w:rFonts w:eastAsia="Malgun Gothic"/>
          <w:i/>
          <w:iCs/>
          <w:lang w:eastAsia="zh-CN"/>
        </w:rPr>
        <w:t>timeDurationForQCL</w:t>
      </w:r>
      <w:r w:rsidR="00F45598" w:rsidRPr="00F45598">
        <w:rPr>
          <w:rFonts w:eastAsia="Malgun Gothic"/>
          <w:lang w:eastAsia="zh-CN"/>
        </w:rPr>
        <w:t>.</w:t>
      </w:r>
      <w:r w:rsidR="00F45598">
        <w:rPr>
          <w:rFonts w:eastAsia="Malgun Gothic"/>
          <w:lang w:eastAsia="zh-CN"/>
        </w:rPr>
        <w:t xml:space="preserve"> </w:t>
      </w:r>
      <w:r w:rsidR="005A63B4">
        <w:rPr>
          <w:rFonts w:eastAsia="Malgun Gothic"/>
          <w:lang w:eastAsia="zh-CN"/>
        </w:rPr>
        <w:t xml:space="preserve">Since </w:t>
      </w:r>
      <w:r w:rsidR="005A63B4" w:rsidRPr="00F45598">
        <w:rPr>
          <w:rFonts w:eastAsia="Malgun Gothic"/>
          <w:i/>
          <w:iCs/>
          <w:lang w:eastAsia="zh-CN"/>
        </w:rPr>
        <w:t>timeDurationForQCL</w:t>
      </w:r>
      <w:r w:rsidR="005A63B4">
        <w:rPr>
          <w:rFonts w:eastAsia="Malgun Gothic"/>
          <w:lang w:eastAsia="zh-CN"/>
        </w:rPr>
        <w:t xml:space="preserve"> is configured by Network, DCI based TCI state change is strictly controlled by Network, </w:t>
      </w:r>
      <w:r w:rsidR="005A63B4" w:rsidRPr="005A63B4">
        <w:rPr>
          <w:rFonts w:eastAsia="Malgun Gothic"/>
          <w:lang w:eastAsia="zh-CN"/>
        </w:rPr>
        <w:t xml:space="preserve">the UE performance degradation can be </w:t>
      </w:r>
      <w:r w:rsidR="005A63B4">
        <w:rPr>
          <w:rFonts w:eastAsia="Malgun Gothic"/>
          <w:lang w:eastAsia="zh-CN"/>
        </w:rPr>
        <w:t>avoided</w:t>
      </w:r>
      <w:r w:rsidR="005A63B4" w:rsidRPr="005A63B4">
        <w:rPr>
          <w:rFonts w:eastAsia="Malgun Gothic"/>
          <w:lang w:eastAsia="zh-CN"/>
        </w:rPr>
        <w:t xml:space="preserve">. </w:t>
      </w:r>
    </w:p>
    <w:p w14:paraId="5DA647D0" w14:textId="5AF236FD" w:rsidR="00E82E15" w:rsidRDefault="00E82E15" w:rsidP="007A7CD0">
      <w:pPr>
        <w:spacing w:after="120"/>
        <w:rPr>
          <w:lang w:eastAsia="ja-JP"/>
        </w:rPr>
      </w:pPr>
      <w:r>
        <w:rPr>
          <w:lang w:eastAsia="ja-JP"/>
        </w:rPr>
        <w:t xml:space="preserve">For RRC based TCI state change, </w:t>
      </w:r>
      <w:r w:rsidR="00F45598">
        <w:rPr>
          <w:lang w:eastAsia="ja-JP"/>
        </w:rPr>
        <w:t>since</w:t>
      </w:r>
      <w:r>
        <w:rPr>
          <w:lang w:eastAsia="ja-JP"/>
        </w:rPr>
        <w:t xml:space="preserve"> UE is not required to </w:t>
      </w:r>
      <w:r w:rsidRPr="00E82E15">
        <w:rPr>
          <w:lang w:eastAsia="ja-JP"/>
        </w:rPr>
        <w:t>receive PDCCH/PDSCH/CSI-RS or transmit PUCCH/PUSCH until the end of switching period</w:t>
      </w:r>
      <w:r>
        <w:rPr>
          <w:lang w:eastAsia="ja-JP"/>
        </w:rPr>
        <w:t xml:space="preserve">, we </w:t>
      </w:r>
      <w:r w:rsidR="00F45598">
        <w:rPr>
          <w:lang w:eastAsia="ja-JP"/>
        </w:rPr>
        <w:t xml:space="preserve">do not </w:t>
      </w:r>
      <w:r>
        <w:rPr>
          <w:lang w:eastAsia="ja-JP"/>
        </w:rPr>
        <w:t xml:space="preserve">need to consider the performance degradation due to RRC based TCI state change. </w:t>
      </w:r>
    </w:p>
    <w:p w14:paraId="40ACAF89" w14:textId="7CC2BC06" w:rsidR="00966550" w:rsidRDefault="00966550" w:rsidP="00E94DDB">
      <w:pPr>
        <w:spacing w:after="120"/>
      </w:pPr>
      <w:r>
        <w:t xml:space="preserve">In last meeting, companies also raised the case of different QCL-TypeD in issue 1-1-1A as below:  </w:t>
      </w:r>
    </w:p>
    <w:tbl>
      <w:tblPr>
        <w:tblStyle w:val="TableGrid"/>
        <w:tblW w:w="0" w:type="auto"/>
        <w:tblLook w:val="04A0" w:firstRow="1" w:lastRow="0" w:firstColumn="1" w:lastColumn="0" w:noHBand="0" w:noVBand="1"/>
      </w:tblPr>
      <w:tblGrid>
        <w:gridCol w:w="9617"/>
      </w:tblGrid>
      <w:tr w:rsidR="00966550" w14:paraId="0953A45B" w14:textId="77777777" w:rsidTr="00966550">
        <w:tc>
          <w:tcPr>
            <w:tcW w:w="9617" w:type="dxa"/>
          </w:tcPr>
          <w:p w14:paraId="2F6379CA" w14:textId="77777777" w:rsidR="00966550" w:rsidRDefault="00966550" w:rsidP="00966550">
            <w:pPr>
              <w:spacing w:after="120" w:line="256" w:lineRule="auto"/>
              <w:rPr>
                <w:b/>
                <w:bCs/>
                <w:color w:val="0070C0"/>
                <w:szCs w:val="24"/>
                <w:u w:val="single"/>
                <w:lang w:eastAsia="zh-CN"/>
              </w:rPr>
            </w:pPr>
            <w:r>
              <w:rPr>
                <w:b/>
                <w:bCs/>
                <w:color w:val="0070C0"/>
                <w:szCs w:val="24"/>
                <w:u w:val="single"/>
                <w:lang w:eastAsia="zh-CN"/>
              </w:rPr>
              <w:t xml:space="preserve">Issue 1-1-1A: Adding additional note considering different </w:t>
            </w:r>
            <w:r>
              <w:rPr>
                <w:b/>
                <w:bCs/>
                <w:color w:val="0070C0"/>
                <w:u w:val="single"/>
              </w:rPr>
              <w:t>QCL-Type D:</w:t>
            </w:r>
            <w:r>
              <w:rPr>
                <w:b/>
                <w:bCs/>
                <w:color w:val="0070C0"/>
                <w:szCs w:val="24"/>
                <w:u w:val="single"/>
                <w:lang w:eastAsia="zh-CN"/>
              </w:rPr>
              <w:t xml:space="preserve"> </w:t>
            </w:r>
          </w:p>
          <w:p w14:paraId="16440BC2" w14:textId="77777777" w:rsidR="00966550" w:rsidRDefault="00966550" w:rsidP="00966550">
            <w:pPr>
              <w:tabs>
                <w:tab w:val="left" w:pos="2277"/>
              </w:tabs>
              <w:spacing w:after="120" w:line="256" w:lineRule="auto"/>
              <w:rPr>
                <w:i/>
                <w:iCs/>
                <w:color w:val="0070C0"/>
                <w:szCs w:val="24"/>
                <w:lang w:eastAsia="zh-CN"/>
              </w:rPr>
            </w:pPr>
            <w:r>
              <w:rPr>
                <w:i/>
                <w:iCs/>
                <w:color w:val="0070C0"/>
                <w:szCs w:val="24"/>
                <w:lang w:eastAsia="zh-CN"/>
              </w:rPr>
              <w:t>Candidate options:</w:t>
            </w:r>
          </w:p>
          <w:p w14:paraId="4B83CEFE" w14:textId="77777777" w:rsidR="00966550" w:rsidRDefault="00966550" w:rsidP="00966550">
            <w:pPr>
              <w:pStyle w:val="ListParagraph"/>
              <w:numPr>
                <w:ilvl w:val="1"/>
                <w:numId w:val="16"/>
              </w:numPr>
              <w:autoSpaceDN w:val="0"/>
              <w:spacing w:after="120" w:line="256" w:lineRule="auto"/>
              <w:ind w:left="1010"/>
              <w:contextualSpacing w:val="0"/>
              <w:rPr>
                <w:color w:val="0070C0"/>
                <w:szCs w:val="20"/>
              </w:rPr>
            </w:pPr>
            <w:r>
              <w:rPr>
                <w:color w:val="0070C0"/>
              </w:rPr>
              <w:t>Option 1: If UE is scheduled to apply different QCL assumptions within a slot, additional performance degradation is expected within the slot</w:t>
            </w:r>
          </w:p>
          <w:p w14:paraId="1AA8C4FC" w14:textId="77777777" w:rsidR="00966550" w:rsidRDefault="00966550" w:rsidP="00966550">
            <w:pPr>
              <w:pStyle w:val="ListParagraph"/>
              <w:numPr>
                <w:ilvl w:val="1"/>
                <w:numId w:val="16"/>
              </w:numPr>
              <w:autoSpaceDN w:val="0"/>
              <w:spacing w:after="120" w:line="256" w:lineRule="auto"/>
              <w:ind w:left="1010"/>
              <w:contextualSpacing w:val="0"/>
              <w:rPr>
                <w:color w:val="0070C0"/>
              </w:rPr>
            </w:pPr>
            <w:r>
              <w:rPr>
                <w:color w:val="0070C0"/>
              </w:rPr>
              <w:t>Option 2: More clarification is needed.</w:t>
            </w:r>
          </w:p>
          <w:p w14:paraId="2EF85EA5" w14:textId="77777777" w:rsidR="00966550" w:rsidRDefault="00966550" w:rsidP="00966550">
            <w:pPr>
              <w:spacing w:after="120"/>
              <w:rPr>
                <w:szCs w:val="24"/>
                <w:lang w:eastAsia="zh-CN"/>
              </w:rPr>
            </w:pPr>
          </w:p>
        </w:tc>
      </w:tr>
    </w:tbl>
    <w:p w14:paraId="3433AC2E" w14:textId="4FBFDACC" w:rsidR="007D69A0" w:rsidRDefault="007D69A0" w:rsidP="00E94DDB">
      <w:pPr>
        <w:spacing w:after="120"/>
        <w:rPr>
          <w:szCs w:val="24"/>
          <w:lang w:eastAsia="zh-CN"/>
        </w:rPr>
      </w:pPr>
    </w:p>
    <w:p w14:paraId="0E3999AE" w14:textId="71CE549C" w:rsidR="007257F3" w:rsidRDefault="007257F3" w:rsidP="00E94DDB">
      <w:pPr>
        <w:spacing w:after="120"/>
        <w:rPr>
          <w:szCs w:val="24"/>
          <w:lang w:eastAsia="zh-CN"/>
        </w:rPr>
      </w:pPr>
      <w:r>
        <w:rPr>
          <w:szCs w:val="24"/>
          <w:lang w:eastAsia="zh-CN"/>
        </w:rPr>
        <w:lastRenderedPageBreak/>
        <w:t>According the discussion</w:t>
      </w:r>
      <w:r w:rsidR="00076B37">
        <w:rPr>
          <w:szCs w:val="24"/>
          <w:lang w:eastAsia="zh-CN"/>
        </w:rPr>
        <w:t xml:space="preserve"> in last meeting</w:t>
      </w:r>
      <w:r>
        <w:rPr>
          <w:szCs w:val="24"/>
          <w:lang w:eastAsia="zh-CN"/>
        </w:rPr>
        <w:t xml:space="preserve">, </w:t>
      </w:r>
      <w:r w:rsidR="008D772A">
        <w:rPr>
          <w:szCs w:val="24"/>
          <w:lang w:eastAsia="zh-CN"/>
        </w:rPr>
        <w:t xml:space="preserve">some companies raised this issue mainly for the case for </w:t>
      </w:r>
      <w:r>
        <w:rPr>
          <w:szCs w:val="24"/>
          <w:lang w:eastAsia="zh-CN"/>
        </w:rPr>
        <w:t>PDCCH-to-PDSCH</w:t>
      </w:r>
      <w:r w:rsidR="008D772A">
        <w:rPr>
          <w:szCs w:val="24"/>
          <w:lang w:eastAsia="zh-CN"/>
        </w:rPr>
        <w:t xml:space="preserve"> </w:t>
      </w:r>
      <w:r>
        <w:rPr>
          <w:szCs w:val="24"/>
          <w:lang w:eastAsia="zh-CN"/>
        </w:rPr>
        <w:t>configured with different QCL-Type D source</w:t>
      </w:r>
      <w:r w:rsidR="00922CF3">
        <w:rPr>
          <w:szCs w:val="24"/>
          <w:lang w:eastAsia="zh-CN"/>
        </w:rPr>
        <w:t>s</w:t>
      </w:r>
      <w:r w:rsidR="00076B37">
        <w:rPr>
          <w:szCs w:val="24"/>
          <w:lang w:eastAsia="zh-CN"/>
        </w:rPr>
        <w:t xml:space="preserve"> within a slot</w:t>
      </w:r>
      <w:r w:rsidR="00922CF3">
        <w:rPr>
          <w:szCs w:val="24"/>
          <w:lang w:eastAsia="zh-CN"/>
        </w:rPr>
        <w:t>.</w:t>
      </w:r>
      <w:r w:rsidR="00916EDE">
        <w:rPr>
          <w:szCs w:val="24"/>
          <w:lang w:eastAsia="zh-CN"/>
        </w:rPr>
        <w:t xml:space="preserve"> For PDCCH-to-PDSCH case, we assume it means DCI based TCI state change.</w:t>
      </w:r>
      <w:r w:rsidR="00922CF3">
        <w:rPr>
          <w:szCs w:val="24"/>
          <w:lang w:eastAsia="zh-CN"/>
        </w:rPr>
        <w:t xml:space="preserve"> </w:t>
      </w:r>
      <w:r w:rsidR="008D772A">
        <w:rPr>
          <w:szCs w:val="24"/>
          <w:lang w:eastAsia="zh-CN"/>
        </w:rPr>
        <w:t>Since t</w:t>
      </w:r>
      <w:r w:rsidR="008D772A" w:rsidRPr="008D772A">
        <w:rPr>
          <w:szCs w:val="24"/>
          <w:lang w:eastAsia="zh-CN"/>
        </w:rPr>
        <w:t>he TCI states of PDCCH and PDSCH are indicated by different signaling</w:t>
      </w:r>
      <w:r w:rsidR="008D772A">
        <w:rPr>
          <w:szCs w:val="24"/>
          <w:lang w:eastAsia="zh-CN"/>
        </w:rPr>
        <w:t xml:space="preserve">, does it mean that </w:t>
      </w:r>
      <w:r w:rsidR="008D772A" w:rsidRPr="008D772A">
        <w:rPr>
          <w:szCs w:val="24"/>
          <w:lang w:eastAsia="zh-CN"/>
        </w:rPr>
        <w:t>different QCL</w:t>
      </w:r>
      <w:r w:rsidR="008D772A">
        <w:rPr>
          <w:szCs w:val="24"/>
          <w:lang w:eastAsia="zh-CN"/>
        </w:rPr>
        <w:t>-Type D</w:t>
      </w:r>
      <w:r w:rsidR="008D772A" w:rsidRPr="008D772A">
        <w:rPr>
          <w:szCs w:val="24"/>
          <w:lang w:eastAsia="zh-CN"/>
        </w:rPr>
        <w:t xml:space="preserve"> information are indicated for the PDCCH and PDSCH</w:t>
      </w:r>
      <w:r w:rsidR="008D772A">
        <w:rPr>
          <w:szCs w:val="24"/>
          <w:lang w:eastAsia="zh-CN"/>
        </w:rPr>
        <w:t xml:space="preserve"> through different signaling at same </w:t>
      </w:r>
      <w:r w:rsidR="00916EDE">
        <w:rPr>
          <w:szCs w:val="24"/>
          <w:lang w:eastAsia="zh-CN"/>
        </w:rPr>
        <w:t>time</w:t>
      </w:r>
      <w:r w:rsidR="008D772A">
        <w:rPr>
          <w:szCs w:val="24"/>
          <w:lang w:eastAsia="zh-CN"/>
        </w:rPr>
        <w:t>?</w:t>
      </w:r>
      <w:r w:rsidR="00076B37">
        <w:rPr>
          <w:szCs w:val="24"/>
          <w:lang w:eastAsia="zh-CN"/>
        </w:rPr>
        <w:t xml:space="preserve"> </w:t>
      </w:r>
      <w:r w:rsidR="00916EDE">
        <w:rPr>
          <w:szCs w:val="24"/>
          <w:lang w:eastAsia="zh-CN"/>
        </w:rPr>
        <w:t>It would be better to have a clear understanding for option 1. After it is clarified, we can further discuss the impact.</w:t>
      </w:r>
    </w:p>
    <w:p w14:paraId="6899C946" w14:textId="5D2A616B" w:rsidR="00916EDE" w:rsidRPr="005E7250" w:rsidRDefault="00916EDE" w:rsidP="00916EDE">
      <w:pPr>
        <w:pStyle w:val="RAN4observation0"/>
      </w:pPr>
      <w:r>
        <w:t xml:space="preserve">Clarification </w:t>
      </w:r>
      <w:r w:rsidR="00DD7E67">
        <w:t xml:space="preserve">is </w:t>
      </w:r>
      <w:r>
        <w:t xml:space="preserve">needed </w:t>
      </w:r>
      <w:r w:rsidR="00DD7E67">
        <w:t>when</w:t>
      </w:r>
      <w:r>
        <w:t xml:space="preserve"> UE is scheduled to apply different QCL assumptions within a slot due to TCI state change. </w:t>
      </w:r>
    </w:p>
    <w:p w14:paraId="6FB000F2" w14:textId="272B51FC" w:rsidR="00916EDE" w:rsidRDefault="00916EDE" w:rsidP="00E94DDB">
      <w:pPr>
        <w:spacing w:after="120"/>
        <w:rPr>
          <w:szCs w:val="24"/>
          <w:lang w:eastAsia="zh-CN"/>
        </w:rPr>
      </w:pPr>
      <w:r>
        <w:rPr>
          <w:szCs w:val="24"/>
          <w:lang w:eastAsia="zh-CN"/>
        </w:rPr>
        <w:t xml:space="preserve">With the above analysis, we would propose the performance degradation impact due to Network driven </w:t>
      </w:r>
      <w:r w:rsidR="00920B8B">
        <w:rPr>
          <w:szCs w:val="24"/>
          <w:lang w:eastAsia="zh-CN"/>
        </w:rPr>
        <w:t xml:space="preserve">Rx beam switch </w:t>
      </w:r>
      <w:r>
        <w:rPr>
          <w:szCs w:val="24"/>
          <w:lang w:eastAsia="zh-CN"/>
        </w:rPr>
        <w:t>e.g. TCI state change as blow:</w:t>
      </w:r>
    </w:p>
    <w:p w14:paraId="71211B6B" w14:textId="5BDF0652" w:rsidR="000C3E47" w:rsidRPr="005E7250" w:rsidRDefault="00DC490C" w:rsidP="000C3E47">
      <w:pPr>
        <w:pStyle w:val="RAN4proposal"/>
      </w:pPr>
      <w:r>
        <w:t xml:space="preserve">For Case 1, </w:t>
      </w:r>
      <w:r w:rsidR="000C3E47">
        <w:t xml:space="preserve">Clarify the performance degradation impact for </w:t>
      </w:r>
      <w:r w:rsidR="000C3E47" w:rsidRPr="0070034F">
        <w:t xml:space="preserve">MRTD of </w:t>
      </w:r>
      <w:r w:rsidR="000C3E47" w:rsidRPr="005E7250">
        <w:t xml:space="preserve">3us </w:t>
      </w:r>
      <w:r w:rsidR="000C3E47" w:rsidRPr="00EC3337">
        <w:t xml:space="preserve">for inter-band CA in FR2 under CBM with a note </w:t>
      </w:r>
      <w:r w:rsidR="000C3E47">
        <w:t xml:space="preserve">stating </w:t>
      </w:r>
      <w:r w:rsidR="000C3E47" w:rsidRPr="00EC3337">
        <w:t>‘</w:t>
      </w:r>
      <w:r w:rsidR="000C3E47" w:rsidRPr="007B52DA">
        <w:rPr>
          <w:rFonts w:eastAsia="Yu Mincho"/>
          <w:lang w:eastAsia="ja-JP"/>
        </w:rPr>
        <w:t xml:space="preserve">This requirement </w:t>
      </w:r>
      <w:r w:rsidR="000C3E47" w:rsidRPr="007B52DA">
        <w:t>applies to the UE capable of common beam management for FR2 inter-band CA</w:t>
      </w:r>
      <w:r w:rsidR="000C3E47" w:rsidRPr="007B52DA">
        <w:rPr>
          <w:lang w:eastAsia="zh-CN"/>
        </w:rPr>
        <w:t>. I</w:t>
      </w:r>
      <w:r w:rsidR="000C3E47" w:rsidRPr="007B52DA">
        <w:rPr>
          <w:lang w:eastAsia="ja-JP"/>
        </w:rPr>
        <w:t xml:space="preserve">f the receive time difference exceeds </w:t>
      </w:r>
      <w:r w:rsidR="000C3E47">
        <w:rPr>
          <w:lang w:eastAsia="ja-JP"/>
        </w:rPr>
        <w:t>X us</w:t>
      </w:r>
      <w:r w:rsidR="000C3E47" w:rsidRPr="007B52DA">
        <w:rPr>
          <w:lang w:eastAsia="ja-JP"/>
        </w:rPr>
        <w:t xml:space="preserve"> of that SCS, demodulation performance degradation is expected for the first </w:t>
      </w:r>
      <w:r w:rsidR="00B43ADA">
        <w:rPr>
          <w:lang w:eastAsia="ja-JP"/>
        </w:rPr>
        <w:t xml:space="preserve">or the last </w:t>
      </w:r>
      <w:r w:rsidR="000C3E47" w:rsidRPr="007B52DA">
        <w:rPr>
          <w:lang w:eastAsia="ja-JP"/>
        </w:rPr>
        <w:t>symbol of the slot</w:t>
      </w:r>
      <w:r w:rsidR="000C3E47">
        <w:rPr>
          <w:lang w:eastAsia="ja-JP"/>
        </w:rPr>
        <w:t xml:space="preserve"> in the SCells of the other band</w:t>
      </w:r>
      <w:r w:rsidR="000C3E47" w:rsidRPr="007B52DA">
        <w:rPr>
          <w:lang w:eastAsia="ja-JP"/>
        </w:rPr>
        <w:t>.</w:t>
      </w:r>
      <w:r w:rsidR="000C3E47">
        <w:t xml:space="preserve"> </w:t>
      </w:r>
      <w:r w:rsidR="00552ECD" w:rsidRPr="00552ECD">
        <w:t>where X is defined in Table 7.6.4</w:t>
      </w:r>
      <w:r w:rsidR="00552ECD">
        <w:t>.</w:t>
      </w:r>
      <w:r w:rsidR="000341BB">
        <w:t>’</w:t>
      </w:r>
    </w:p>
    <w:p w14:paraId="4EFCDF31" w14:textId="74B808BF" w:rsidR="00D42BC7" w:rsidRPr="005E7250" w:rsidRDefault="00D42BC7" w:rsidP="00D42BC7">
      <w:pPr>
        <w:pStyle w:val="RAN4proposal"/>
      </w:pPr>
      <w:r>
        <w:t xml:space="preserve">For Case 1, </w:t>
      </w:r>
      <w:r w:rsidR="009C6E0A" w:rsidRPr="009C6E0A">
        <w:rPr>
          <w:rFonts w:hint="eastAsia"/>
        </w:rPr>
        <w:t>Demodulation performance degradation is expected only after the slot</w:t>
      </w:r>
      <w:r w:rsidR="009C6E0A" w:rsidRPr="009C6E0A">
        <w:rPr>
          <w:szCs w:val="20"/>
        </w:rPr>
        <w:t xml:space="preserve"> </w:t>
      </w:r>
      <w:r w:rsidR="009C6E0A" w:rsidRPr="008E511E">
        <w:rPr>
          <w:szCs w:val="20"/>
        </w:rPr>
        <w:t xml:space="preserve">n+ </w:t>
      </w:r>
      <w:r w:rsidR="009C6E0A" w:rsidRPr="00E1359B">
        <w:rPr>
          <w:rFonts w:eastAsia="Malgun Gothic"/>
          <w:lang w:eastAsia="zh-CN"/>
        </w:rPr>
        <w:t>T</w:t>
      </w:r>
      <w:r w:rsidR="009C6E0A" w:rsidRPr="00A8235C">
        <w:rPr>
          <w:rFonts w:eastAsia="Malgun Gothic"/>
          <w:vertAlign w:val="subscript"/>
          <w:lang w:eastAsia="zh-CN"/>
        </w:rPr>
        <w:t>HARQ</w:t>
      </w:r>
      <w:r w:rsidR="009C6E0A" w:rsidRPr="00F2737E">
        <w:rPr>
          <w:rFonts w:eastAsia="Malgun Gothic"/>
          <w:lang w:eastAsia="zh-CN"/>
        </w:rPr>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9C6E0A" w:rsidRPr="009C6E0A">
        <w:rPr>
          <w:rFonts w:hint="eastAsia"/>
        </w:rPr>
        <w:t xml:space="preserve">  where UE switch it</w:t>
      </w:r>
      <w:r w:rsidR="009C6E0A">
        <w:t>’</w:t>
      </w:r>
      <w:r w:rsidR="009C6E0A" w:rsidRPr="009C6E0A">
        <w:rPr>
          <w:rFonts w:hint="eastAsia"/>
        </w:rPr>
        <w:t>s Rx beam due to MAC-CE based TCI state change</w:t>
      </w:r>
    </w:p>
    <w:p w14:paraId="02E2CC21" w14:textId="77777777" w:rsidR="000C3E47" w:rsidRDefault="000C3E47" w:rsidP="000C3E47">
      <w:pPr>
        <w:spacing w:after="120"/>
        <w:rPr>
          <w:szCs w:val="24"/>
          <w:lang w:eastAsia="zh-CN"/>
        </w:rPr>
      </w:pPr>
    </w:p>
    <w:p w14:paraId="00B5615B" w14:textId="130D3BD4" w:rsidR="002E08B6" w:rsidRPr="00920B8B" w:rsidRDefault="002E08B6" w:rsidP="002E08B6">
      <w:pPr>
        <w:ind w:right="-22"/>
        <w:rPr>
          <w:rFonts w:eastAsiaTheme="minorEastAsia"/>
          <w:u w:val="single"/>
          <w:lang w:eastAsia="zh-CN"/>
        </w:rPr>
      </w:pPr>
      <w:r w:rsidRPr="00920B8B">
        <w:rPr>
          <w:rFonts w:eastAsiaTheme="minorEastAsia"/>
          <w:b/>
          <w:bCs/>
          <w:u w:val="single"/>
          <w:lang w:eastAsia="zh-CN"/>
        </w:rPr>
        <w:t>Case 2:</w:t>
      </w:r>
      <w:r w:rsidRPr="00920B8B">
        <w:rPr>
          <w:rFonts w:eastAsiaTheme="minorEastAsia"/>
          <w:u w:val="single"/>
          <w:lang w:eastAsia="zh-CN"/>
        </w:rPr>
        <w:t xml:space="preserve"> Performance degradation due to UE autonomous Rx beam switch</w:t>
      </w:r>
    </w:p>
    <w:p w14:paraId="7DBCDE46" w14:textId="4CD0634F" w:rsidR="00664640" w:rsidRDefault="00664640" w:rsidP="002E08B6">
      <w:pPr>
        <w:ind w:right="-22"/>
        <w:rPr>
          <w:rFonts w:eastAsiaTheme="minorEastAsia"/>
          <w:lang w:eastAsia="zh-CN"/>
        </w:rPr>
      </w:pPr>
      <w:r>
        <w:rPr>
          <w:rFonts w:eastAsiaTheme="minorEastAsia"/>
          <w:lang w:eastAsia="zh-CN"/>
        </w:rPr>
        <w:t>For UE autonomous Rx beam switch, the candidate options as below:</w:t>
      </w:r>
    </w:p>
    <w:tbl>
      <w:tblPr>
        <w:tblStyle w:val="TableGrid"/>
        <w:tblW w:w="0" w:type="auto"/>
        <w:tblLook w:val="04A0" w:firstRow="1" w:lastRow="0" w:firstColumn="1" w:lastColumn="0" w:noHBand="0" w:noVBand="1"/>
      </w:tblPr>
      <w:tblGrid>
        <w:gridCol w:w="9617"/>
      </w:tblGrid>
      <w:tr w:rsidR="00664640" w14:paraId="188C4862" w14:textId="77777777" w:rsidTr="00664640">
        <w:tc>
          <w:tcPr>
            <w:tcW w:w="9617" w:type="dxa"/>
          </w:tcPr>
          <w:p w14:paraId="46385613" w14:textId="77777777" w:rsidR="00664640" w:rsidRDefault="00664640" w:rsidP="00664640">
            <w:pPr>
              <w:spacing w:after="120" w:line="256" w:lineRule="auto"/>
              <w:rPr>
                <w:b/>
                <w:bCs/>
                <w:color w:val="0070C0"/>
                <w:szCs w:val="24"/>
                <w:u w:val="single"/>
                <w:lang w:eastAsia="zh-CN"/>
              </w:rPr>
            </w:pPr>
            <w:r>
              <w:rPr>
                <w:b/>
                <w:bCs/>
                <w:color w:val="0070C0"/>
                <w:szCs w:val="24"/>
                <w:u w:val="single"/>
                <w:lang w:eastAsia="zh-CN"/>
              </w:rPr>
              <w:t>Issue 1-1-2: performance degradation due to UE autonomous Rx beam switch (Case 2)</w:t>
            </w:r>
          </w:p>
          <w:p w14:paraId="7A4B0186" w14:textId="77777777" w:rsidR="00664640" w:rsidRDefault="00664640" w:rsidP="00664640">
            <w:pPr>
              <w:tabs>
                <w:tab w:val="left" w:pos="2277"/>
              </w:tabs>
              <w:spacing w:after="120" w:line="256" w:lineRule="auto"/>
              <w:rPr>
                <w:i/>
                <w:iCs/>
                <w:color w:val="0070C0"/>
                <w:szCs w:val="24"/>
                <w:lang w:eastAsia="zh-CN"/>
              </w:rPr>
            </w:pPr>
            <w:r>
              <w:rPr>
                <w:i/>
                <w:iCs/>
                <w:color w:val="0070C0"/>
                <w:szCs w:val="24"/>
                <w:lang w:eastAsia="zh-CN"/>
              </w:rPr>
              <w:t xml:space="preserve">Candidate options: </w:t>
            </w:r>
          </w:p>
          <w:p w14:paraId="2A865DBA" w14:textId="77777777" w:rsidR="00664640" w:rsidRDefault="00664640" w:rsidP="00664640">
            <w:pPr>
              <w:pStyle w:val="ListParagraph"/>
              <w:numPr>
                <w:ilvl w:val="1"/>
                <w:numId w:val="16"/>
              </w:numPr>
              <w:autoSpaceDN w:val="0"/>
              <w:spacing w:after="120" w:line="256" w:lineRule="auto"/>
              <w:ind w:left="1010"/>
              <w:contextualSpacing w:val="0"/>
              <w:rPr>
                <w:color w:val="0070C0"/>
                <w:szCs w:val="24"/>
                <w:lang w:val="en-GB" w:eastAsia="zh-CN"/>
              </w:rPr>
            </w:pPr>
            <w:r>
              <w:rPr>
                <w:color w:val="0070C0"/>
                <w:szCs w:val="24"/>
                <w:lang w:eastAsia="zh-CN"/>
              </w:rPr>
              <w:t xml:space="preserve">Option 1: Adding a note to the corresponding MRTD table, same as in Issue 1-1-1.  </w:t>
            </w:r>
          </w:p>
          <w:p w14:paraId="7FC67FB5" w14:textId="77777777" w:rsidR="00664640" w:rsidRDefault="00664640" w:rsidP="00664640">
            <w:pPr>
              <w:pStyle w:val="ListParagraph"/>
              <w:numPr>
                <w:ilvl w:val="1"/>
                <w:numId w:val="16"/>
              </w:numPr>
              <w:autoSpaceDN w:val="0"/>
              <w:spacing w:after="120" w:line="256" w:lineRule="auto"/>
              <w:ind w:left="1010"/>
              <w:contextualSpacing w:val="0"/>
              <w:rPr>
                <w:color w:val="0070C0"/>
                <w:szCs w:val="24"/>
                <w:lang w:eastAsia="zh-CN"/>
              </w:rPr>
            </w:pPr>
            <w:r>
              <w:rPr>
                <w:color w:val="0070C0"/>
                <w:szCs w:val="24"/>
                <w:lang w:eastAsia="zh-CN"/>
              </w:rPr>
              <w:t xml:space="preserve">Option 2: Do not define any explicit requirements on how often and how much performance degradation is expected unless it can be tested under specific conditions where the degradation can be accurately quantified. </w:t>
            </w:r>
          </w:p>
          <w:p w14:paraId="7D1E4C78" w14:textId="77777777" w:rsidR="00664640" w:rsidRDefault="00664640" w:rsidP="00664640">
            <w:pPr>
              <w:pStyle w:val="ListParagraph"/>
              <w:numPr>
                <w:ilvl w:val="1"/>
                <w:numId w:val="16"/>
              </w:numPr>
              <w:autoSpaceDN w:val="0"/>
              <w:spacing w:after="120" w:line="256" w:lineRule="auto"/>
              <w:ind w:left="1010"/>
              <w:contextualSpacing w:val="0"/>
              <w:rPr>
                <w:color w:val="0070C0"/>
                <w:szCs w:val="24"/>
                <w:lang w:eastAsia="zh-CN"/>
              </w:rPr>
            </w:pPr>
            <w:r>
              <w:rPr>
                <w:color w:val="0070C0"/>
                <w:szCs w:val="24"/>
                <w:lang w:eastAsia="zh-CN"/>
              </w:rPr>
              <w:t xml:space="preserve">Option 3: RAN4 to define UE requirement in terms of how often and/or where the performance degradation is allowed due to UE autonomous Rx beam switching, i.e. demodulation performance degradation is allowed in [Y]% of slots over [Z] ms, FFS on Y and Z. </w:t>
            </w:r>
          </w:p>
          <w:p w14:paraId="449162E8" w14:textId="77777777" w:rsidR="00664640" w:rsidRDefault="00664640" w:rsidP="00972F36">
            <w:pPr>
              <w:pStyle w:val="ListParagraph"/>
              <w:ind w:left="0" w:right="-22"/>
            </w:pPr>
          </w:p>
        </w:tc>
      </w:tr>
    </w:tbl>
    <w:p w14:paraId="486BD18F" w14:textId="77777777" w:rsidR="00664640" w:rsidRDefault="00664640" w:rsidP="00972F36">
      <w:pPr>
        <w:pStyle w:val="ListParagraph"/>
        <w:ind w:left="0" w:right="-22"/>
      </w:pPr>
    </w:p>
    <w:p w14:paraId="3EEC1079" w14:textId="3A2C1699" w:rsidR="00164B04" w:rsidRPr="0094069C" w:rsidRDefault="00845C23" w:rsidP="00972F36">
      <w:pPr>
        <w:pStyle w:val="ListParagraph"/>
        <w:ind w:left="0" w:right="-22"/>
        <w:rPr>
          <w:szCs w:val="24"/>
          <w:lang w:eastAsia="zh-CN"/>
        </w:rPr>
      </w:pPr>
      <w:r>
        <w:t>W</w:t>
      </w:r>
      <w:r w:rsidRPr="009A61A0">
        <w:t>e understand that when UE perform autonomous Rx beam switch is up to UE’s implementation</w:t>
      </w:r>
      <w:r w:rsidR="00972F36">
        <w:t xml:space="preserve">, </w:t>
      </w:r>
      <w:r w:rsidR="00972F36">
        <w:rPr>
          <w:szCs w:val="24"/>
          <w:lang w:eastAsia="zh-CN"/>
        </w:rPr>
        <w:t>h</w:t>
      </w:r>
      <w:r w:rsidR="00164B04" w:rsidRPr="0094069C">
        <w:rPr>
          <w:szCs w:val="24"/>
          <w:lang w:eastAsia="zh-CN"/>
        </w:rPr>
        <w:t xml:space="preserve">aving considered the different company views in the discussion we </w:t>
      </w:r>
      <w:r w:rsidR="0094069C" w:rsidRPr="0094069C">
        <w:rPr>
          <w:szCs w:val="24"/>
          <w:lang w:eastAsia="zh-CN"/>
        </w:rPr>
        <w:t xml:space="preserve">may need to consider </w:t>
      </w:r>
      <w:r w:rsidR="00164B04" w:rsidRPr="0094069C">
        <w:rPr>
          <w:szCs w:val="24"/>
          <w:lang w:eastAsia="zh-CN"/>
        </w:rPr>
        <w:t>UE requirements regarding potential performance degradation in case of inter-band CA is configured for CBM capable UE and RTD exceeds threshold X. It is true that the network should be able to recognize from UE feedback when the experiences problems, but in fact it could also lead to that there in this case would be no UE performance requirements at all. Reason being is that network is in fact not aware when RTD exceed X on the UE side.</w:t>
      </w:r>
      <w:r w:rsidR="0094069C" w:rsidRPr="0094069C">
        <w:rPr>
          <w:szCs w:val="24"/>
          <w:lang w:eastAsia="zh-CN"/>
        </w:rPr>
        <w:t xml:space="preserve"> </w:t>
      </w:r>
      <w:r w:rsidR="00164B04" w:rsidRPr="0094069C">
        <w:rPr>
          <w:szCs w:val="24"/>
          <w:lang w:eastAsia="zh-CN"/>
        </w:rPr>
        <w:t xml:space="preserve">Hence, we believe some sort of UE performance degradation might need to be defined to ensure proper performance. </w:t>
      </w:r>
    </w:p>
    <w:p w14:paraId="449AF7C9" w14:textId="434E193B" w:rsidR="0094504A" w:rsidRDefault="0094069C" w:rsidP="00164B04">
      <w:pPr>
        <w:ind w:right="-22"/>
      </w:pPr>
      <w:r>
        <w:t>S</w:t>
      </w:r>
      <w:r w:rsidR="0094504A">
        <w:t>ome companies raised the worst case that UE may perform Rx beam switch in every symbol or every slot</w:t>
      </w:r>
      <w:r>
        <w:t xml:space="preserve"> in previous meetings</w:t>
      </w:r>
      <w:r w:rsidR="0094504A">
        <w:t xml:space="preserve">, however, we do not think UE Rx beam switch is likely to will happen at every slot. We agree that the Rx beam switch may happen at any slot, but we do not expect that it will happen at every slot. When the Rx beam switch happens in a slot, performance degradation is expected for the first or the last symbol of the slot if </w:t>
      </w:r>
      <w:r w:rsidR="0094504A" w:rsidRPr="00B94E47">
        <w:t>the receive time difference exceeds</w:t>
      </w:r>
      <w:r w:rsidR="0094504A">
        <w:t xml:space="preserve"> the threshold X us. </w:t>
      </w:r>
    </w:p>
    <w:p w14:paraId="0820C326" w14:textId="24D4B37C" w:rsidR="0094504A" w:rsidRDefault="00A923F9" w:rsidP="0094504A">
      <w:pPr>
        <w:ind w:right="-22"/>
      </w:pPr>
      <w:r>
        <w:t>We think such discussion would be helpful but initially</w:t>
      </w:r>
      <w:r w:rsidR="00401E15">
        <w:t xml:space="preserve"> RAN4 would need to get a common understanding on the typical UE Rx beam switch frequency, how often would we expect a UE beam switch to happen. </w:t>
      </w:r>
    </w:p>
    <w:p w14:paraId="12DE9075" w14:textId="21C9025E" w:rsidR="00695BBD" w:rsidRDefault="00FF5E60" w:rsidP="00695BBD">
      <w:pPr>
        <w:ind w:right="-22"/>
      </w:pPr>
      <w:r>
        <w:t>T</w:t>
      </w:r>
      <w:r w:rsidR="00695BBD">
        <w:t>he solution to reduce performance degradation and whether and how to introduce restrictions for UE Rx beam change</w:t>
      </w:r>
      <w:r w:rsidR="00695BBD" w:rsidRPr="004132EB">
        <w:t xml:space="preserve"> </w:t>
      </w:r>
      <w:r w:rsidR="00695BBD">
        <w:t xml:space="preserve">is still open. One option is using network scheduled/controlled instances for UE Rx beam change. However, the UE autonomous Rx beam change is up to UE’s implementation and will be UE implementation specific. Similar to the </w:t>
      </w:r>
      <w:r w:rsidR="00695BBD">
        <w:lastRenderedPageBreak/>
        <w:t xml:space="preserve">performance impact it may need long time to discuss and agree any common UE RX switching assumptions which can be used by the network scheduling for such Rx beam switching instances. </w:t>
      </w:r>
    </w:p>
    <w:p w14:paraId="6BEB3635" w14:textId="29F33A15" w:rsidR="0094504A" w:rsidRDefault="0094504A" w:rsidP="0094504A">
      <w:pPr>
        <w:ind w:right="-22"/>
      </w:pPr>
      <w:r>
        <w:t>However, while such discussion continues, RAN4 can continue capturing the requirements for the conditions when the UE experienced RTD is below X.</w:t>
      </w:r>
    </w:p>
    <w:p w14:paraId="3A788856" w14:textId="0E1C6BDD" w:rsidR="0094504A" w:rsidRDefault="0094504A" w:rsidP="0094504A">
      <w:pPr>
        <w:ind w:right="-22"/>
      </w:pPr>
      <w:r>
        <w:t xml:space="preserve">Considering the time schedule for the RRM core requirements for this WI, RAN4 can continue to discuss the detail performance degradation impact and solution until Mar 2022. Same time RAN4 also need to focus on defining the general RRM requirements. </w:t>
      </w:r>
    </w:p>
    <w:p w14:paraId="7362C48A" w14:textId="6DE55181" w:rsidR="00104075" w:rsidRDefault="00067DC0" w:rsidP="0094504A">
      <w:pPr>
        <w:ind w:right="-22"/>
      </w:pPr>
      <w:r>
        <w:t>Based on</w:t>
      </w:r>
      <w:r w:rsidR="00104075">
        <w:t xml:space="preserve"> the above analysis, </w:t>
      </w:r>
      <w:r w:rsidR="00FC6F42">
        <w:t xml:space="preserve">for the performance degradation due to UE autonomous Rx beam switch (Case 2), we think </w:t>
      </w:r>
      <w:r w:rsidR="00104075">
        <w:t xml:space="preserve">option 1 in issue 1-1-2 in WF [2] is </w:t>
      </w:r>
      <w:r w:rsidR="00952DD0">
        <w:t xml:space="preserve">a </w:t>
      </w:r>
      <w:r w:rsidR="00104075">
        <w:t>feasible approach</w:t>
      </w:r>
      <w:r w:rsidR="00191E42">
        <w:t xml:space="preserve"> in specification</w:t>
      </w:r>
      <w:r w:rsidR="00FC6F42">
        <w:t>.</w:t>
      </w:r>
      <w:r w:rsidR="00104075">
        <w:t xml:space="preserve"> Meanwhile, </w:t>
      </w:r>
      <w:r w:rsidR="00952DD0">
        <w:t xml:space="preserve">we also need to </w:t>
      </w:r>
      <w:r w:rsidR="00FC6F42">
        <w:t>consider</w:t>
      </w:r>
      <w:r w:rsidR="00952DD0">
        <w:t xml:space="preserve"> how to</w:t>
      </w:r>
      <w:r w:rsidR="00A604BD">
        <w:t xml:space="preserve"> </w:t>
      </w:r>
      <w:r w:rsidR="00A8641F">
        <w:t>capture</w:t>
      </w:r>
      <w:r w:rsidR="00952DD0">
        <w:t xml:space="preserve"> the impacted slot</w:t>
      </w:r>
      <w:r w:rsidR="00A8641F">
        <w:t xml:space="preserve"> in specification</w:t>
      </w:r>
      <w:r w:rsidR="00952DD0">
        <w:t xml:space="preserve">. </w:t>
      </w:r>
      <w:r w:rsidR="00A604BD">
        <w:t>W</w:t>
      </w:r>
      <w:r w:rsidR="00104075">
        <w:t xml:space="preserve">e think option 2 and option 3 is not </w:t>
      </w:r>
      <w:r w:rsidR="00832FE6">
        <w:t>against</w:t>
      </w:r>
      <w:r w:rsidR="00104075">
        <w:t xml:space="preserve"> of option 1, option 2 and option 3 are </w:t>
      </w:r>
      <w:r w:rsidR="00B541BC">
        <w:t>talking about</w:t>
      </w:r>
      <w:r w:rsidR="00104075">
        <w:t xml:space="preserve"> how often and when UE autonomous Rx beam switch </w:t>
      </w:r>
      <w:r w:rsidR="00560B6A">
        <w:t xml:space="preserve">will </w:t>
      </w:r>
      <w:r w:rsidR="00104075">
        <w:t>happen</w:t>
      </w:r>
      <w:r w:rsidR="00191E42">
        <w:t xml:space="preserve">, </w:t>
      </w:r>
      <w:r w:rsidR="00832FE6">
        <w:t>we can further discuss on option 2 &amp; 3 based on option 1.</w:t>
      </w:r>
    </w:p>
    <w:p w14:paraId="7ED6CDAD" w14:textId="4A16C6A1" w:rsidR="00906A9D" w:rsidRDefault="00906A9D" w:rsidP="005F3EFC">
      <w:pPr>
        <w:pStyle w:val="RAN4Observation"/>
      </w:pPr>
      <w:bookmarkStart w:id="4" w:name="_Hlk95789127"/>
      <w:r>
        <w:t>RAN4 should further discuss</w:t>
      </w:r>
      <w:r w:rsidR="00D6148D">
        <w:t xml:space="preserve"> how often and when UE autonomous Rx beam switch will happen </w:t>
      </w:r>
      <w:r w:rsidR="00D6148D" w:rsidRPr="00D6148D">
        <w:rPr>
          <w:rFonts w:hint="eastAsia"/>
        </w:rPr>
        <w:t>i</w:t>
      </w:r>
      <w:r w:rsidR="00D6148D" w:rsidRPr="00D6148D">
        <w:t>n</w:t>
      </w:r>
      <w:r>
        <w:t xml:space="preserve"> option 2&amp;3 based on option 1.</w:t>
      </w:r>
    </w:p>
    <w:bookmarkEnd w:id="4"/>
    <w:p w14:paraId="1A9D28EC" w14:textId="26F50399" w:rsidR="008E511E" w:rsidRPr="009C5807" w:rsidRDefault="00E1359B" w:rsidP="008E511E">
      <w:pPr>
        <w:rPr>
          <w:lang w:eastAsia="zh-CN"/>
        </w:rPr>
      </w:pPr>
      <w:r>
        <w:t>As we discussed, t</w:t>
      </w:r>
      <w:r w:rsidR="008E511E">
        <w:t>he UE autonomous Rx beam change is up to UE’s implementation and will be UE implementation specific</w:t>
      </w:r>
      <w:r>
        <w:t>, w</w:t>
      </w:r>
      <w:r w:rsidR="008E511E">
        <w:t xml:space="preserve">e believe that UE </w:t>
      </w:r>
      <w:r>
        <w:t>will have very</w:t>
      </w:r>
      <w:r w:rsidR="008E511E">
        <w:t xml:space="preserve"> </w:t>
      </w:r>
      <w:r>
        <w:t>well</w:t>
      </w:r>
      <w:r w:rsidR="008E511E">
        <w:t xml:space="preserve"> implementation</w:t>
      </w:r>
      <w:r>
        <w:t xml:space="preserve"> and </w:t>
      </w:r>
      <w:r w:rsidR="008E511E">
        <w:t xml:space="preserve">UE Rx beam switch </w:t>
      </w:r>
      <w:r>
        <w:t xml:space="preserve">will not happen at every slot, we can consider </w:t>
      </w:r>
      <w:r w:rsidR="004B4478">
        <w:t xml:space="preserve">some </w:t>
      </w:r>
      <w:r>
        <w:t>performance degradation</w:t>
      </w:r>
      <w:r w:rsidR="004B4478">
        <w:t xml:space="preserve"> with a maximum limit.</w:t>
      </w:r>
      <w:r w:rsidR="008E511E">
        <w:rPr>
          <w:lang w:eastAsia="zh-CN"/>
        </w:rPr>
        <w:t xml:space="preserve"> </w:t>
      </w:r>
    </w:p>
    <w:p w14:paraId="23C5415F" w14:textId="03496FEE" w:rsidR="0094504A" w:rsidRPr="005E7250" w:rsidRDefault="00A8235C" w:rsidP="0094504A">
      <w:pPr>
        <w:pStyle w:val="RAN4proposal"/>
      </w:pPr>
      <w:r>
        <w:rPr>
          <w:rFonts w:eastAsiaTheme="minorEastAsia"/>
          <w:lang w:eastAsia="zh-CN"/>
        </w:rPr>
        <w:t xml:space="preserve">For Case 2 (performance degradation due to </w:t>
      </w:r>
      <w:r w:rsidR="00C17337">
        <w:rPr>
          <w:rFonts w:eastAsiaTheme="minorEastAsia"/>
          <w:lang w:eastAsia="zh-CN"/>
        </w:rPr>
        <w:t>UE autonomous Rx beam switch</w:t>
      </w:r>
      <w:r>
        <w:rPr>
          <w:rFonts w:eastAsiaTheme="minorEastAsia"/>
          <w:lang w:eastAsia="zh-CN"/>
        </w:rPr>
        <w:t>)</w:t>
      </w:r>
      <w:r w:rsidR="00C17337">
        <w:rPr>
          <w:rFonts w:eastAsiaTheme="minorEastAsia"/>
          <w:lang w:eastAsia="zh-CN"/>
        </w:rPr>
        <w:t xml:space="preserve">, </w:t>
      </w:r>
      <w:r w:rsidR="0094504A">
        <w:t xml:space="preserve">Clarify the performance degradation impact for </w:t>
      </w:r>
      <w:r w:rsidR="0094504A" w:rsidRPr="0070034F">
        <w:t xml:space="preserve">MRTD of </w:t>
      </w:r>
      <w:r w:rsidR="0094504A" w:rsidRPr="005E7250">
        <w:t xml:space="preserve">3us </w:t>
      </w:r>
      <w:r w:rsidR="0094504A" w:rsidRPr="00EC3337">
        <w:t xml:space="preserve">for inter-band CA in FR2 under CBM with a note </w:t>
      </w:r>
      <w:r w:rsidR="0094504A">
        <w:t xml:space="preserve">stating </w:t>
      </w:r>
      <w:r w:rsidR="0094504A" w:rsidRPr="00EC3337">
        <w:t>‘</w:t>
      </w:r>
      <w:r w:rsidR="0094504A" w:rsidRPr="007B52DA">
        <w:rPr>
          <w:rFonts w:eastAsia="Yu Mincho"/>
          <w:lang w:eastAsia="ja-JP"/>
        </w:rPr>
        <w:t xml:space="preserve">This requirement </w:t>
      </w:r>
      <w:r w:rsidR="0094504A" w:rsidRPr="007B52DA">
        <w:t>applies to the UE capable of common beam management for FR2 inter-band CA</w:t>
      </w:r>
      <w:r w:rsidR="0094504A" w:rsidRPr="007B52DA">
        <w:rPr>
          <w:lang w:eastAsia="zh-CN"/>
        </w:rPr>
        <w:t>. I</w:t>
      </w:r>
      <w:r w:rsidR="0094504A" w:rsidRPr="007B52DA">
        <w:rPr>
          <w:lang w:eastAsia="ja-JP"/>
        </w:rPr>
        <w:t xml:space="preserve">f the receive time difference exceeds </w:t>
      </w:r>
      <w:r w:rsidR="00D06BDF">
        <w:rPr>
          <w:lang w:eastAsia="ja-JP"/>
        </w:rPr>
        <w:t>X us</w:t>
      </w:r>
      <w:r w:rsidR="0094504A" w:rsidRPr="007B52DA">
        <w:rPr>
          <w:lang w:eastAsia="ja-JP"/>
        </w:rPr>
        <w:t xml:space="preserve"> of that SCS, demodulation performance degradation is expected for the first symbol of the slot</w:t>
      </w:r>
      <w:r w:rsidR="0094504A">
        <w:rPr>
          <w:lang w:eastAsia="ja-JP"/>
        </w:rPr>
        <w:t xml:space="preserve"> in the SCells of the other band</w:t>
      </w:r>
      <w:r w:rsidR="0094504A" w:rsidRPr="007B52DA">
        <w:rPr>
          <w:lang w:eastAsia="ja-JP"/>
        </w:rPr>
        <w:t>.</w:t>
      </w:r>
      <w:r w:rsidR="0094504A" w:rsidRPr="00EC3337">
        <w:t>’</w:t>
      </w:r>
      <w:r w:rsidR="00D06BDF">
        <w:t xml:space="preserve"> </w:t>
      </w:r>
      <w:r w:rsidR="00B4564C" w:rsidRPr="00B4564C">
        <w:t>where X is defined in Table 7.6.4.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4504A" w:rsidRPr="009C5807" w14:paraId="63C03F1C" w14:textId="77777777" w:rsidTr="00D42BC7">
        <w:trPr>
          <w:jc w:val="center"/>
        </w:trPr>
        <w:tc>
          <w:tcPr>
            <w:tcW w:w="2251" w:type="dxa"/>
            <w:shd w:val="clear" w:color="auto" w:fill="auto"/>
          </w:tcPr>
          <w:p w14:paraId="6169AABB" w14:textId="77777777" w:rsidR="0094504A" w:rsidRPr="009C5807" w:rsidRDefault="0094504A" w:rsidP="00D42BC7">
            <w:pPr>
              <w:pStyle w:val="TAH"/>
            </w:pPr>
            <w:r w:rsidRPr="009C5807">
              <w:t>Frequency Range of the pair of carriers</w:t>
            </w:r>
          </w:p>
        </w:tc>
        <w:tc>
          <w:tcPr>
            <w:tcW w:w="3003" w:type="dxa"/>
            <w:shd w:val="clear" w:color="auto" w:fill="auto"/>
          </w:tcPr>
          <w:p w14:paraId="2DC7C43E" w14:textId="77777777" w:rsidR="0094504A" w:rsidRPr="009C5807" w:rsidRDefault="0094504A" w:rsidP="00D42BC7">
            <w:pPr>
              <w:pStyle w:val="TAH"/>
            </w:pPr>
            <w:r w:rsidRPr="009C5807">
              <w:t xml:space="preserve">Maximum receive timing difference (µs) </w:t>
            </w:r>
          </w:p>
        </w:tc>
      </w:tr>
      <w:tr w:rsidR="0094504A" w:rsidRPr="009C5807" w14:paraId="67290915" w14:textId="77777777" w:rsidTr="00D42BC7">
        <w:trPr>
          <w:jc w:val="center"/>
        </w:trPr>
        <w:tc>
          <w:tcPr>
            <w:tcW w:w="2251" w:type="dxa"/>
            <w:shd w:val="clear" w:color="auto" w:fill="auto"/>
          </w:tcPr>
          <w:p w14:paraId="6142050A" w14:textId="77777777" w:rsidR="0094504A" w:rsidRPr="009C5807" w:rsidRDefault="0094504A" w:rsidP="00D42BC7">
            <w:pPr>
              <w:pStyle w:val="TAC"/>
            </w:pPr>
            <w:r w:rsidRPr="009C5807">
              <w:t>FR1</w:t>
            </w:r>
          </w:p>
        </w:tc>
        <w:tc>
          <w:tcPr>
            <w:tcW w:w="3003" w:type="dxa"/>
            <w:shd w:val="clear" w:color="auto" w:fill="auto"/>
          </w:tcPr>
          <w:p w14:paraId="3CC831BE" w14:textId="77777777" w:rsidR="0094504A" w:rsidRPr="009C5807" w:rsidRDefault="0094504A" w:rsidP="00D42BC7">
            <w:pPr>
              <w:pStyle w:val="TAC"/>
            </w:pPr>
            <w:r w:rsidRPr="009C5807">
              <w:t>33</w:t>
            </w:r>
          </w:p>
        </w:tc>
      </w:tr>
      <w:tr w:rsidR="0094504A" w:rsidRPr="009C5807" w14:paraId="2F674547" w14:textId="77777777" w:rsidTr="00D42BC7">
        <w:trPr>
          <w:jc w:val="center"/>
        </w:trPr>
        <w:tc>
          <w:tcPr>
            <w:tcW w:w="2251" w:type="dxa"/>
            <w:shd w:val="clear" w:color="auto" w:fill="auto"/>
          </w:tcPr>
          <w:p w14:paraId="2C4E5A46" w14:textId="77777777" w:rsidR="0094504A" w:rsidRPr="009C5807" w:rsidRDefault="0094504A" w:rsidP="00D42BC7">
            <w:pPr>
              <w:pStyle w:val="TAC"/>
            </w:pPr>
            <w:r w:rsidRPr="009C5807">
              <w:t>FR2</w:t>
            </w:r>
          </w:p>
        </w:tc>
        <w:tc>
          <w:tcPr>
            <w:tcW w:w="3003" w:type="dxa"/>
            <w:shd w:val="clear" w:color="auto" w:fill="auto"/>
          </w:tcPr>
          <w:p w14:paraId="54E9FBA1" w14:textId="77777777" w:rsidR="0094504A" w:rsidRPr="009C5807" w:rsidRDefault="0094504A" w:rsidP="00D42BC7">
            <w:pPr>
              <w:pStyle w:val="TAC"/>
            </w:pPr>
            <w:r w:rsidRPr="006004A0">
              <w:t>8</w:t>
            </w:r>
            <w:r w:rsidRPr="006004A0">
              <w:rPr>
                <w:vertAlign w:val="superscript"/>
              </w:rPr>
              <w:t xml:space="preserve"> note1</w:t>
            </w:r>
          </w:p>
        </w:tc>
      </w:tr>
      <w:tr w:rsidR="0094504A" w:rsidRPr="009C5807" w14:paraId="29E785E0" w14:textId="77777777" w:rsidTr="00D42BC7">
        <w:trPr>
          <w:jc w:val="center"/>
        </w:trPr>
        <w:tc>
          <w:tcPr>
            <w:tcW w:w="2251" w:type="dxa"/>
            <w:shd w:val="clear" w:color="auto" w:fill="auto"/>
          </w:tcPr>
          <w:p w14:paraId="27D97CF3" w14:textId="77777777" w:rsidR="0094504A" w:rsidRPr="007B52DA" w:rsidRDefault="0094504A" w:rsidP="00D42BC7">
            <w:pPr>
              <w:pStyle w:val="TAC"/>
              <w:rPr>
                <w:highlight w:val="yellow"/>
              </w:rPr>
            </w:pPr>
            <w:r w:rsidRPr="007B52DA">
              <w:rPr>
                <w:highlight w:val="yellow"/>
              </w:rPr>
              <w:t>FR2</w:t>
            </w:r>
          </w:p>
        </w:tc>
        <w:tc>
          <w:tcPr>
            <w:tcW w:w="3003" w:type="dxa"/>
            <w:shd w:val="clear" w:color="auto" w:fill="auto"/>
          </w:tcPr>
          <w:p w14:paraId="5D9B4D0B" w14:textId="77777777" w:rsidR="0094504A" w:rsidRPr="007B52DA" w:rsidRDefault="0094504A" w:rsidP="00D42BC7">
            <w:pPr>
              <w:pStyle w:val="TAC"/>
              <w:rPr>
                <w:highlight w:val="yellow"/>
              </w:rPr>
            </w:pPr>
            <w:r w:rsidRPr="007B52DA">
              <w:rPr>
                <w:highlight w:val="yellow"/>
              </w:rPr>
              <w:t>3</w:t>
            </w:r>
            <w:r w:rsidRPr="007B52DA">
              <w:rPr>
                <w:highlight w:val="yellow"/>
                <w:vertAlign w:val="superscript"/>
              </w:rPr>
              <w:t>note2</w:t>
            </w:r>
          </w:p>
        </w:tc>
      </w:tr>
      <w:tr w:rsidR="0094504A" w:rsidRPr="009C5807" w14:paraId="5C5A4B0F" w14:textId="77777777" w:rsidTr="00D42BC7">
        <w:trPr>
          <w:jc w:val="center"/>
        </w:trPr>
        <w:tc>
          <w:tcPr>
            <w:tcW w:w="2251" w:type="dxa"/>
            <w:shd w:val="clear" w:color="auto" w:fill="auto"/>
          </w:tcPr>
          <w:p w14:paraId="3207A4EA" w14:textId="77777777" w:rsidR="0094504A" w:rsidRPr="009C5807" w:rsidRDefault="0094504A" w:rsidP="00D42BC7">
            <w:pPr>
              <w:pStyle w:val="TAC"/>
            </w:pPr>
            <w:r w:rsidRPr="009C5807">
              <w:t>Between FR1 and FR2</w:t>
            </w:r>
          </w:p>
        </w:tc>
        <w:tc>
          <w:tcPr>
            <w:tcW w:w="3003" w:type="dxa"/>
            <w:shd w:val="clear" w:color="auto" w:fill="auto"/>
          </w:tcPr>
          <w:p w14:paraId="6A4E63DF" w14:textId="77777777" w:rsidR="0094504A" w:rsidRPr="009C5807" w:rsidRDefault="0094504A" w:rsidP="00D42BC7">
            <w:pPr>
              <w:pStyle w:val="TAC"/>
            </w:pPr>
            <w:r w:rsidRPr="009C5807">
              <w:rPr>
                <w:lang w:eastAsia="zh-CN"/>
              </w:rPr>
              <w:t xml:space="preserve">25 </w:t>
            </w:r>
          </w:p>
        </w:tc>
      </w:tr>
      <w:tr w:rsidR="0094504A" w:rsidRPr="009C5807" w14:paraId="4CE45005" w14:textId="77777777" w:rsidTr="00D42BC7">
        <w:trPr>
          <w:jc w:val="center"/>
        </w:trPr>
        <w:tc>
          <w:tcPr>
            <w:tcW w:w="5254" w:type="dxa"/>
            <w:gridSpan w:val="2"/>
            <w:shd w:val="clear" w:color="auto" w:fill="auto"/>
          </w:tcPr>
          <w:p w14:paraId="0EFE719E" w14:textId="77777777" w:rsidR="0094504A" w:rsidRDefault="0094504A" w:rsidP="00D42BC7">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525974D7" w14:textId="7AB5D0BE" w:rsidR="0094504A" w:rsidRPr="009C5807" w:rsidRDefault="0094504A" w:rsidP="00D42BC7">
            <w:pPr>
              <w:pStyle w:val="TAN"/>
              <w:rPr>
                <w:lang w:eastAsia="zh-CN"/>
              </w:rPr>
            </w:pPr>
            <w:r w:rsidRPr="007B52DA">
              <w:rPr>
                <w:highlight w:val="yellow"/>
                <w:lang w:eastAsia="zh-CN"/>
              </w:rPr>
              <w:t>Note2:</w:t>
            </w:r>
            <w:r w:rsidRPr="007B52DA">
              <w:rPr>
                <w:highlight w:val="yellow"/>
              </w:rPr>
              <w:tab/>
            </w:r>
            <w:r w:rsidRPr="007B52DA">
              <w:rPr>
                <w:rFonts w:eastAsia="Yu Mincho"/>
                <w:highlight w:val="yellow"/>
                <w:lang w:eastAsia="ja-JP"/>
              </w:rPr>
              <w:t xml:space="preserve">This requirement </w:t>
            </w:r>
            <w:r w:rsidRPr="007B52DA">
              <w:rPr>
                <w:highlight w:val="yellow"/>
              </w:rPr>
              <w:t>applies to the UE capable of common beam management for FR2 inter-band CA</w:t>
            </w:r>
            <w:r w:rsidRPr="007B52DA">
              <w:rPr>
                <w:highlight w:val="yellow"/>
                <w:lang w:eastAsia="zh-CN"/>
              </w:rPr>
              <w:t xml:space="preserve">. </w:t>
            </w:r>
            <w:r>
              <w:rPr>
                <w:highlight w:val="yellow"/>
                <w:lang w:eastAsia="zh-CN"/>
              </w:rPr>
              <w:t>I</w:t>
            </w:r>
            <w:r w:rsidRPr="007B52DA">
              <w:rPr>
                <w:highlight w:val="yellow"/>
                <w:lang w:val="en-US" w:eastAsia="ja-JP"/>
              </w:rPr>
              <w:t xml:space="preserve">f the receive time difference exceeds </w:t>
            </w:r>
            <w:r w:rsidR="00515355">
              <w:rPr>
                <w:highlight w:val="yellow"/>
                <w:lang w:val="en-US" w:eastAsia="ja-JP"/>
              </w:rPr>
              <w:t>X us</w:t>
            </w:r>
            <w:r w:rsidRPr="007B52DA">
              <w:rPr>
                <w:highlight w:val="yellow"/>
                <w:lang w:val="en-US" w:eastAsia="ja-JP"/>
              </w:rPr>
              <w:t xml:space="preserve"> of that SCS, demodulation performance degradation is expected for the first</w:t>
            </w:r>
            <w:r w:rsidR="001C43A6">
              <w:rPr>
                <w:highlight w:val="yellow"/>
                <w:lang w:val="en-US" w:eastAsia="ja-JP"/>
              </w:rPr>
              <w:t xml:space="preserve"> or the last</w:t>
            </w:r>
            <w:r w:rsidRPr="007B52DA">
              <w:rPr>
                <w:highlight w:val="yellow"/>
                <w:lang w:val="en-US" w:eastAsia="ja-JP"/>
              </w:rPr>
              <w:t xml:space="preserve"> symbol of the slot</w:t>
            </w:r>
            <w:r>
              <w:rPr>
                <w:highlight w:val="yellow"/>
                <w:lang w:val="en-US" w:eastAsia="ja-JP"/>
              </w:rPr>
              <w:t xml:space="preserve"> in the SCells of the other band</w:t>
            </w:r>
            <w:r w:rsidR="00515355">
              <w:rPr>
                <w:highlight w:val="yellow"/>
                <w:lang w:val="en-US" w:eastAsia="ja-JP"/>
              </w:rPr>
              <w:t>,</w:t>
            </w:r>
            <w:r w:rsidR="00515355" w:rsidRPr="004869E2">
              <w:rPr>
                <w:highlight w:val="yellow"/>
                <w:lang w:val="en-US" w:eastAsia="ja-JP"/>
              </w:rPr>
              <w:t xml:space="preserve"> </w:t>
            </w:r>
            <w:r w:rsidR="004869E2" w:rsidRPr="004869E2">
              <w:rPr>
                <w:highlight w:val="yellow"/>
                <w:lang w:val="en-US" w:eastAsia="ja-JP"/>
              </w:rPr>
              <w:t>where X is defined in Table 7.6.4.</w:t>
            </w:r>
          </w:p>
        </w:tc>
      </w:tr>
    </w:tbl>
    <w:p w14:paraId="6DDEA994" w14:textId="36576378" w:rsidR="0094504A" w:rsidRDefault="0094504A" w:rsidP="0094504A">
      <w:pPr>
        <w:rPr>
          <w:rFonts w:eastAsia="Calibri" w:cs="Times New Roman"/>
          <w:szCs w:val="20"/>
          <w:lang w:val="en-GB"/>
        </w:rPr>
      </w:pPr>
    </w:p>
    <w:p w14:paraId="6219C059" w14:textId="39FF1CA4" w:rsidR="00A8235C" w:rsidRPr="00906A9D" w:rsidRDefault="00A8235C" w:rsidP="00A8235C">
      <w:pPr>
        <w:pStyle w:val="RAN4proposal"/>
        <w:ind w:left="0" w:firstLine="0"/>
        <w:rPr>
          <w:rFonts w:eastAsiaTheme="minorEastAsia"/>
          <w:lang w:eastAsia="zh-CN"/>
        </w:rPr>
      </w:pPr>
      <w:r>
        <w:rPr>
          <w:rFonts w:eastAsiaTheme="minorEastAsia"/>
          <w:lang w:eastAsia="zh-CN"/>
        </w:rPr>
        <w:t>For Case 2 (performance degradation due to UE autonomous Rx beam switch), A</w:t>
      </w:r>
      <w:r w:rsidRPr="00906A9D">
        <w:rPr>
          <w:rFonts w:eastAsiaTheme="minorEastAsia"/>
          <w:lang w:eastAsia="zh-CN"/>
        </w:rPr>
        <w:t xml:space="preserve">dditional </w:t>
      </w:r>
      <w:r>
        <w:rPr>
          <w:rFonts w:eastAsiaTheme="minorEastAsia"/>
          <w:lang w:eastAsia="zh-CN"/>
        </w:rPr>
        <w:t>clarification</w:t>
      </w:r>
      <w:r w:rsidRPr="00906A9D">
        <w:rPr>
          <w:rFonts w:eastAsiaTheme="minorEastAsia"/>
          <w:lang w:eastAsia="zh-CN"/>
        </w:rPr>
        <w:t xml:space="preserve"> notes </w:t>
      </w:r>
      <w:r w:rsidR="00552783">
        <w:rPr>
          <w:rFonts w:eastAsiaTheme="minorEastAsia"/>
          <w:lang w:eastAsia="zh-CN"/>
        </w:rPr>
        <w:t xml:space="preserve">may be needed </w:t>
      </w:r>
      <w:r w:rsidR="005F7448">
        <w:rPr>
          <w:rFonts w:eastAsiaTheme="minorEastAsia"/>
          <w:lang w:eastAsia="zh-CN"/>
        </w:rPr>
        <w:t xml:space="preserve">to </w:t>
      </w:r>
      <w:r w:rsidR="005F7448">
        <w:t>consider some performance degradation with a maximum limit.</w:t>
      </w:r>
    </w:p>
    <w:p w14:paraId="121C83D6" w14:textId="2558D337" w:rsidR="0094504A" w:rsidRPr="00F11827" w:rsidRDefault="0094504A" w:rsidP="0094504A">
      <w:r>
        <w:t>Th</w:t>
      </w:r>
      <w:r w:rsidR="001E55AB">
        <w:rPr>
          <w:rFonts w:hint="eastAsia"/>
          <w:lang w:eastAsia="zh-CN"/>
        </w:rPr>
        <w:t>ese</w:t>
      </w:r>
      <w:r>
        <w:t xml:space="preserve"> proposal</w:t>
      </w:r>
      <w:r w:rsidR="001E55AB">
        <w:t>s</w:t>
      </w:r>
      <w:r>
        <w:t xml:space="preserve"> </w:t>
      </w:r>
      <w:r w:rsidR="001E55AB">
        <w:t>are</w:t>
      </w:r>
      <w:r>
        <w:t xml:space="preserve"> captured in the draft CR [</w:t>
      </w:r>
      <w:r w:rsidR="00F2737E">
        <w:t>4</w:t>
      </w:r>
      <w:r>
        <w:t>].</w:t>
      </w:r>
    </w:p>
    <w:p w14:paraId="761516E1" w14:textId="0C5D6312" w:rsidR="00CD7492" w:rsidRPr="00CE5B1C" w:rsidRDefault="00CD7492" w:rsidP="00A37002">
      <w:pPr>
        <w:pStyle w:val="RAN4H1"/>
      </w:pPr>
      <w:r w:rsidRPr="00337521">
        <w:t>Conclusion</w:t>
      </w:r>
    </w:p>
    <w:p w14:paraId="1C41FC01" w14:textId="372B3D93" w:rsidR="00CE5B1C" w:rsidRDefault="00CE5B1C" w:rsidP="00EB7489">
      <w:pPr>
        <w:rPr>
          <w:rFonts w:eastAsia="Calibri" w:cs="Times New Roman"/>
          <w:szCs w:val="20"/>
          <w:lang w:val="en-GB"/>
        </w:rPr>
      </w:pPr>
      <w:r>
        <w:rPr>
          <w:rFonts w:eastAsia="Calibri" w:cs="Times New Roman"/>
          <w:szCs w:val="20"/>
          <w:lang w:val="en-GB"/>
        </w:rPr>
        <w:t>In RAN4#</w:t>
      </w:r>
      <w:r w:rsidR="005E67DB">
        <w:rPr>
          <w:rFonts w:eastAsia="Calibri" w:cs="Times New Roman"/>
          <w:szCs w:val="20"/>
          <w:lang w:val="en-GB"/>
        </w:rPr>
        <w:t>10</w:t>
      </w:r>
      <w:r w:rsidR="00DC490C">
        <w:rPr>
          <w:rFonts w:eastAsia="Calibri" w:cs="Times New Roman"/>
          <w:szCs w:val="20"/>
          <w:lang w:val="en-GB"/>
        </w:rPr>
        <w:t>2</w:t>
      </w:r>
      <w:r w:rsidR="00046699">
        <w:rPr>
          <w:rFonts w:eastAsia="Calibri" w:cs="Times New Roman"/>
          <w:szCs w:val="20"/>
          <w:lang w:val="en-GB"/>
        </w:rPr>
        <w:t>-</w:t>
      </w:r>
      <w:r w:rsidR="005E67DB">
        <w:rPr>
          <w:rFonts w:eastAsia="Calibri" w:cs="Times New Roman"/>
          <w:szCs w:val="20"/>
          <w:lang w:val="en-GB"/>
        </w:rPr>
        <w:t xml:space="preserve">e </w:t>
      </w:r>
      <w:r>
        <w:rPr>
          <w:rFonts w:eastAsia="Calibri" w:cs="Times New Roman"/>
          <w:szCs w:val="20"/>
          <w:lang w:val="en-GB"/>
        </w:rPr>
        <w:t xml:space="preserve">meeting </w:t>
      </w:r>
      <w:r w:rsidR="00941EF2">
        <w:rPr>
          <w:rFonts w:eastAsia="Calibri" w:cs="Times New Roman"/>
          <w:szCs w:val="20"/>
          <w:lang w:val="en-GB"/>
        </w:rPr>
        <w:t xml:space="preserve">the </w:t>
      </w:r>
      <w:r>
        <w:rPr>
          <w:rFonts w:eastAsia="Calibri" w:cs="Times New Roman"/>
          <w:szCs w:val="20"/>
          <w:lang w:val="en-GB"/>
        </w:rPr>
        <w:t xml:space="preserve">discussions </w:t>
      </w:r>
      <w:r w:rsidR="001E429B">
        <w:rPr>
          <w:rFonts w:eastAsia="Calibri" w:cs="Times New Roman"/>
          <w:szCs w:val="20"/>
          <w:lang w:val="en-GB"/>
        </w:rPr>
        <w:t>related to FR2 inter-band CA UE requirements continued</w:t>
      </w:r>
      <w:r>
        <w:rPr>
          <w:rFonts w:eastAsia="Calibri" w:cs="Times New Roman"/>
          <w:szCs w:val="20"/>
          <w:lang w:val="en-GB"/>
        </w:rPr>
        <w:t>. In this paper we continue</w:t>
      </w:r>
      <w:r w:rsidR="00657856">
        <w:rPr>
          <w:rFonts w:eastAsia="Calibri" w:cs="Times New Roman"/>
          <w:szCs w:val="20"/>
          <w:lang w:val="en-GB"/>
        </w:rPr>
        <w:t>d</w:t>
      </w:r>
      <w:r>
        <w:rPr>
          <w:rFonts w:eastAsia="Calibri" w:cs="Times New Roman"/>
          <w:szCs w:val="20"/>
          <w:lang w:val="en-GB"/>
        </w:rPr>
        <w:t xml:space="preserve"> the discussion related to </w:t>
      </w:r>
      <w:r w:rsidR="00281915">
        <w:rPr>
          <w:rFonts w:eastAsia="Calibri" w:cs="Times New Roman"/>
          <w:szCs w:val="20"/>
          <w:lang w:val="en-GB"/>
        </w:rPr>
        <w:t xml:space="preserve">MRTD </w:t>
      </w:r>
      <w:r w:rsidR="00CD4856">
        <w:rPr>
          <w:rFonts w:eastAsia="Calibri" w:cs="Times New Roman"/>
          <w:szCs w:val="20"/>
          <w:lang w:val="en-GB"/>
        </w:rPr>
        <w:t>requirements</w:t>
      </w:r>
      <w:r w:rsidR="00281915">
        <w:rPr>
          <w:rFonts w:eastAsia="Calibri" w:cs="Times New Roman"/>
          <w:szCs w:val="20"/>
          <w:lang w:val="en-GB"/>
        </w:rPr>
        <w:t xml:space="preserve"> </w:t>
      </w:r>
      <w:r>
        <w:rPr>
          <w:rFonts w:eastAsia="Calibri" w:cs="Times New Roman"/>
          <w:szCs w:val="20"/>
          <w:lang w:val="en-GB"/>
        </w:rPr>
        <w:t xml:space="preserve">for this WI. </w:t>
      </w:r>
      <w:r w:rsidR="008D0DCD">
        <w:rPr>
          <w:rFonts w:eastAsia="Calibri" w:cs="Times New Roman"/>
          <w:szCs w:val="20"/>
          <w:lang w:val="en-GB"/>
        </w:rPr>
        <w:t>W</w:t>
      </w:r>
      <w:r>
        <w:rPr>
          <w:rFonts w:eastAsia="Calibri" w:cs="Times New Roman"/>
          <w:szCs w:val="20"/>
          <w:lang w:val="en-GB"/>
        </w:rPr>
        <w:t xml:space="preserve">e addressed the open items </w:t>
      </w:r>
      <w:r w:rsidR="00EF317B">
        <w:rPr>
          <w:rFonts w:eastAsia="Calibri" w:cs="Times New Roman"/>
          <w:szCs w:val="20"/>
          <w:lang w:val="en-GB"/>
        </w:rPr>
        <w:t xml:space="preserve">listed in the agreed WF </w:t>
      </w:r>
      <w:r w:rsidR="0056600C">
        <w:rPr>
          <w:rFonts w:eastAsia="Calibri" w:cs="Times New Roman"/>
          <w:szCs w:val="20"/>
          <w:lang w:val="en-GB"/>
        </w:rPr>
        <w:t>related to</w:t>
      </w:r>
      <w:r w:rsidR="00EF317B">
        <w:rPr>
          <w:rFonts w:eastAsia="Calibri" w:cs="Times New Roman"/>
          <w:szCs w:val="20"/>
          <w:lang w:val="en-GB"/>
        </w:rPr>
        <w:t xml:space="preserve"> MRTD requirements. </w:t>
      </w:r>
    </w:p>
    <w:p w14:paraId="10E5FBB5" w14:textId="321C0012" w:rsidR="007E7152" w:rsidRPr="007E7152" w:rsidRDefault="007E7152" w:rsidP="00EB7489">
      <w:pPr>
        <w:rPr>
          <w:rFonts w:eastAsia="Calibri" w:cs="Times New Roman"/>
          <w:szCs w:val="20"/>
          <w:u w:val="single"/>
          <w:lang w:val="en-GB"/>
        </w:rPr>
      </w:pPr>
      <w:r w:rsidRPr="007E7152">
        <w:rPr>
          <w:rFonts w:eastAsia="Calibri" w:cs="Times New Roman"/>
          <w:szCs w:val="20"/>
          <w:u w:val="single"/>
          <w:lang w:val="en-GB"/>
        </w:rPr>
        <w:t>UE Rx beam switch time</w:t>
      </w:r>
    </w:p>
    <w:p w14:paraId="2422E3D6" w14:textId="523E5440" w:rsidR="00443AF0" w:rsidRDefault="00443AF0" w:rsidP="00443AF0">
      <w:pPr>
        <w:pStyle w:val="RAN4Observation"/>
        <w:numPr>
          <w:ilvl w:val="0"/>
          <w:numId w:val="20"/>
        </w:numPr>
      </w:pPr>
      <w:r>
        <w:t xml:space="preserve">The UE Rx beam switch time is discussed in RF session AI 10.4.2.1.4. </w:t>
      </w:r>
    </w:p>
    <w:p w14:paraId="3C32F550" w14:textId="30CD2D95" w:rsidR="005F3EFC" w:rsidRDefault="005F3EFC" w:rsidP="005F3EFC">
      <w:pPr>
        <w:rPr>
          <w:rFonts w:eastAsiaTheme="minorEastAsia"/>
          <w:u w:val="single"/>
          <w:lang w:eastAsia="zh-CN"/>
        </w:rPr>
      </w:pPr>
      <w:r w:rsidRPr="00920B8B">
        <w:rPr>
          <w:rFonts w:eastAsiaTheme="minorEastAsia"/>
          <w:b/>
          <w:bCs/>
          <w:u w:val="single"/>
          <w:lang w:eastAsia="zh-CN"/>
        </w:rPr>
        <w:t>Case 1:</w:t>
      </w:r>
      <w:r w:rsidRPr="00920B8B">
        <w:rPr>
          <w:rFonts w:eastAsiaTheme="minorEastAsia"/>
          <w:u w:val="single"/>
          <w:lang w:eastAsia="zh-CN"/>
        </w:rPr>
        <w:t xml:space="preserve"> Performance degradation impact due to network driven Rx beam switch i.e. TCI state change</w:t>
      </w:r>
    </w:p>
    <w:p w14:paraId="0E26A7B3" w14:textId="77777777" w:rsidR="005F3EFC" w:rsidRPr="005E7250" w:rsidRDefault="005F3EFC" w:rsidP="005F3EFC">
      <w:pPr>
        <w:pStyle w:val="RAN4observation0"/>
      </w:pPr>
      <w:r>
        <w:lastRenderedPageBreak/>
        <w:t xml:space="preserve">Clarification is needed when UE is scheduled to apply different QCL assumptions within a slot due to TCI state change. </w:t>
      </w:r>
    </w:p>
    <w:p w14:paraId="299BAF42" w14:textId="77777777" w:rsidR="005F3EFC" w:rsidRPr="005E7250" w:rsidRDefault="005F3EFC" w:rsidP="005F3EFC">
      <w:pPr>
        <w:pStyle w:val="RAN4proposal"/>
        <w:numPr>
          <w:ilvl w:val="0"/>
          <w:numId w:val="21"/>
        </w:numPr>
      </w:pPr>
      <w:r>
        <w:t xml:space="preserve">For Case 1, Clarify the performance degradation impact for </w:t>
      </w:r>
      <w:r w:rsidRPr="0070034F">
        <w:t xml:space="preserve">MRTD of </w:t>
      </w:r>
      <w:r w:rsidRPr="005E7250">
        <w:t xml:space="preserve">3us </w:t>
      </w:r>
      <w:r w:rsidRPr="00EC3337">
        <w:t xml:space="preserve">for inter-band CA in FR2 under CBM with a note </w:t>
      </w:r>
      <w:r>
        <w:t xml:space="preserve">stating </w:t>
      </w:r>
      <w:r w:rsidRPr="00EC3337">
        <w:t>‘</w:t>
      </w:r>
      <w:r w:rsidRPr="005F3EFC">
        <w:rPr>
          <w:rFonts w:eastAsia="Yu Mincho"/>
          <w:lang w:eastAsia="ja-JP"/>
        </w:rPr>
        <w:t xml:space="preserve">This requirement </w:t>
      </w:r>
      <w:r w:rsidRPr="007B52DA">
        <w:t>applies to the UE capable of common beam management for FR2 inter-band CA</w:t>
      </w:r>
      <w:r w:rsidRPr="007B52DA">
        <w:rPr>
          <w:lang w:eastAsia="zh-CN"/>
        </w:rPr>
        <w:t>. I</w:t>
      </w:r>
      <w:r w:rsidRPr="007B52DA">
        <w:rPr>
          <w:lang w:eastAsia="ja-JP"/>
        </w:rPr>
        <w:t xml:space="preserve">f the receive time difference exceeds </w:t>
      </w:r>
      <w:r>
        <w:rPr>
          <w:lang w:eastAsia="ja-JP"/>
        </w:rPr>
        <w:t>X us</w:t>
      </w:r>
      <w:r w:rsidRPr="007B52DA">
        <w:rPr>
          <w:lang w:eastAsia="ja-JP"/>
        </w:rPr>
        <w:t xml:space="preserve"> of that SCS, demodulation performance degradation is expected for the first </w:t>
      </w:r>
      <w:r>
        <w:rPr>
          <w:lang w:eastAsia="ja-JP"/>
        </w:rPr>
        <w:t xml:space="preserve">or the last </w:t>
      </w:r>
      <w:r w:rsidRPr="007B52DA">
        <w:rPr>
          <w:lang w:eastAsia="ja-JP"/>
        </w:rPr>
        <w:t>symbol of the slot</w:t>
      </w:r>
      <w:r>
        <w:rPr>
          <w:lang w:eastAsia="ja-JP"/>
        </w:rPr>
        <w:t xml:space="preserve"> in the SCells of the other band</w:t>
      </w:r>
      <w:r w:rsidRPr="007B52DA">
        <w:rPr>
          <w:lang w:eastAsia="ja-JP"/>
        </w:rPr>
        <w:t>.</w:t>
      </w:r>
      <w:r>
        <w:t xml:space="preserve"> </w:t>
      </w:r>
      <w:r w:rsidRPr="00552ECD">
        <w:t>where X is defined in Table 7.6.4</w:t>
      </w:r>
      <w:r>
        <w:t>.’</w:t>
      </w:r>
    </w:p>
    <w:p w14:paraId="549F5024" w14:textId="77777777" w:rsidR="005F3EFC" w:rsidRPr="005E7250" w:rsidRDefault="005F3EFC" w:rsidP="005F3EFC">
      <w:pPr>
        <w:pStyle w:val="RAN4proposal"/>
      </w:pPr>
      <w:r>
        <w:t xml:space="preserve">For Case 1, </w:t>
      </w:r>
      <w:r w:rsidRPr="009C6E0A">
        <w:rPr>
          <w:rFonts w:hint="eastAsia"/>
        </w:rPr>
        <w:t>Demodulation performance degradation is expected only after the slot</w:t>
      </w:r>
      <w:r w:rsidRPr="009C6E0A">
        <w:rPr>
          <w:szCs w:val="20"/>
        </w:rPr>
        <w:t xml:space="preserve"> </w:t>
      </w:r>
      <w:r w:rsidRPr="008E511E">
        <w:rPr>
          <w:szCs w:val="20"/>
        </w:rPr>
        <w:t xml:space="preserve">n+ </w:t>
      </w:r>
      <w:r w:rsidRPr="00E1359B">
        <w:rPr>
          <w:rFonts w:eastAsia="Malgun Gothic"/>
          <w:lang w:eastAsia="zh-CN"/>
        </w:rPr>
        <w:t>T</w:t>
      </w:r>
      <w:r w:rsidRPr="00A8235C">
        <w:rPr>
          <w:rFonts w:eastAsia="Malgun Gothic"/>
          <w:vertAlign w:val="subscript"/>
          <w:lang w:eastAsia="zh-CN"/>
        </w:rPr>
        <w:t>HARQ</w:t>
      </w:r>
      <w:r w:rsidRPr="00F2737E">
        <w:rPr>
          <w:rFonts w:eastAsia="Malgun Gothic"/>
          <w:lang w:eastAsia="zh-CN"/>
        </w:rPr>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9C6E0A">
        <w:rPr>
          <w:rFonts w:hint="eastAsia"/>
        </w:rPr>
        <w:t xml:space="preserve">  where UE switch it</w:t>
      </w:r>
      <w:r>
        <w:t>’</w:t>
      </w:r>
      <w:r w:rsidRPr="009C6E0A">
        <w:rPr>
          <w:rFonts w:hint="eastAsia"/>
        </w:rPr>
        <w:t>s Rx beam due to MAC-CE based TCI state change</w:t>
      </w:r>
    </w:p>
    <w:p w14:paraId="551526D4" w14:textId="77777777" w:rsidR="005F3EFC" w:rsidRDefault="005F3EFC" w:rsidP="005F3EFC">
      <w:pPr>
        <w:ind w:right="-22"/>
        <w:rPr>
          <w:rFonts w:eastAsiaTheme="minorEastAsia"/>
          <w:b/>
          <w:bCs/>
          <w:u w:val="single"/>
          <w:lang w:eastAsia="zh-CN"/>
        </w:rPr>
      </w:pPr>
    </w:p>
    <w:p w14:paraId="1D4AECFA" w14:textId="5E71F6C7" w:rsidR="005F3EFC" w:rsidRPr="00920B8B" w:rsidRDefault="005F3EFC" w:rsidP="005F3EFC">
      <w:pPr>
        <w:ind w:right="-22"/>
        <w:rPr>
          <w:rFonts w:eastAsiaTheme="minorEastAsia"/>
          <w:u w:val="single"/>
          <w:lang w:eastAsia="zh-CN"/>
        </w:rPr>
      </w:pPr>
      <w:r w:rsidRPr="00920B8B">
        <w:rPr>
          <w:rFonts w:eastAsiaTheme="minorEastAsia"/>
          <w:b/>
          <w:bCs/>
          <w:u w:val="single"/>
          <w:lang w:eastAsia="zh-CN"/>
        </w:rPr>
        <w:t>Case 2:</w:t>
      </w:r>
      <w:r w:rsidRPr="00920B8B">
        <w:rPr>
          <w:rFonts w:eastAsiaTheme="minorEastAsia"/>
          <w:u w:val="single"/>
          <w:lang w:eastAsia="zh-CN"/>
        </w:rPr>
        <w:t xml:space="preserve"> Performance degradation due to UE autonomous Rx beam switch</w:t>
      </w:r>
    </w:p>
    <w:p w14:paraId="1FA40CC7" w14:textId="77777777" w:rsidR="00D6148D" w:rsidRDefault="00D6148D" w:rsidP="00D6148D">
      <w:pPr>
        <w:pStyle w:val="RAN4Observation"/>
      </w:pPr>
      <w:r>
        <w:t xml:space="preserve">RAN4 should further discuss how often and when UE autonomous Rx beam switch will happen </w:t>
      </w:r>
      <w:r w:rsidRPr="00D6148D">
        <w:rPr>
          <w:rFonts w:hint="eastAsia"/>
        </w:rPr>
        <w:t>i</w:t>
      </w:r>
      <w:r w:rsidRPr="00D6148D">
        <w:t>n</w:t>
      </w:r>
      <w:r>
        <w:t xml:space="preserve"> option 2&amp;3 based on option 1.</w:t>
      </w:r>
    </w:p>
    <w:p w14:paraId="6CD87BD7" w14:textId="77777777" w:rsidR="005F3EFC" w:rsidRPr="005E7250" w:rsidRDefault="005F3EFC" w:rsidP="005F3EFC">
      <w:pPr>
        <w:pStyle w:val="RAN4proposal"/>
      </w:pPr>
      <w:r>
        <w:rPr>
          <w:rFonts w:eastAsiaTheme="minorEastAsia"/>
          <w:lang w:eastAsia="zh-CN"/>
        </w:rPr>
        <w:t xml:space="preserve">For Case 2 (performance degradation due to UE autonomous Rx beam switch), </w:t>
      </w:r>
      <w:r>
        <w:t xml:space="preserve">Clarify the performance degradation impact for </w:t>
      </w:r>
      <w:r w:rsidRPr="0070034F">
        <w:t xml:space="preserve">MRTD of </w:t>
      </w:r>
      <w:r w:rsidRPr="005E7250">
        <w:t xml:space="preserve">3us </w:t>
      </w:r>
      <w:r w:rsidRPr="00EC3337">
        <w:t xml:space="preserve">for inter-band CA in FR2 under CBM with a note </w:t>
      </w:r>
      <w:r>
        <w:t xml:space="preserve">stating </w:t>
      </w:r>
      <w:r w:rsidRPr="00EC3337">
        <w:t>‘</w:t>
      </w:r>
      <w:r w:rsidRPr="007B52DA">
        <w:rPr>
          <w:rFonts w:eastAsia="Yu Mincho"/>
          <w:lang w:eastAsia="ja-JP"/>
        </w:rPr>
        <w:t xml:space="preserve">This requirement </w:t>
      </w:r>
      <w:r w:rsidRPr="007B52DA">
        <w:t>applies to the UE capable of common beam management for FR2 inter-band CA</w:t>
      </w:r>
      <w:r w:rsidRPr="007B52DA">
        <w:rPr>
          <w:lang w:eastAsia="zh-CN"/>
        </w:rPr>
        <w:t>. I</w:t>
      </w:r>
      <w:r w:rsidRPr="007B52DA">
        <w:rPr>
          <w:lang w:eastAsia="ja-JP"/>
        </w:rPr>
        <w:t xml:space="preserve">f the receive time difference exceeds </w:t>
      </w:r>
      <w:r>
        <w:rPr>
          <w:lang w:eastAsia="ja-JP"/>
        </w:rPr>
        <w:t>X us</w:t>
      </w:r>
      <w:r w:rsidRPr="007B52DA">
        <w:rPr>
          <w:lang w:eastAsia="ja-JP"/>
        </w:rPr>
        <w:t xml:space="preserve"> of that SCS, demodulation performance degradation is expected for the first symbol of the slot</w:t>
      </w:r>
      <w:r>
        <w:rPr>
          <w:lang w:eastAsia="ja-JP"/>
        </w:rPr>
        <w:t xml:space="preserve"> in the SCells of the other band</w:t>
      </w:r>
      <w:r w:rsidRPr="007B52DA">
        <w:rPr>
          <w:lang w:eastAsia="ja-JP"/>
        </w:rPr>
        <w:t>.</w:t>
      </w:r>
      <w:r w:rsidRPr="00EC3337">
        <w:t>’</w:t>
      </w:r>
      <w:r>
        <w:t xml:space="preserve"> </w:t>
      </w:r>
      <w:r w:rsidRPr="00B4564C">
        <w:t>where X is defined in Table 7.6.4.</w:t>
      </w:r>
    </w:p>
    <w:p w14:paraId="02B38DD4" w14:textId="77777777" w:rsidR="005F3EFC" w:rsidRPr="00906A9D" w:rsidRDefault="005F3EFC" w:rsidP="005F3EFC">
      <w:pPr>
        <w:pStyle w:val="RAN4proposal"/>
        <w:ind w:left="0" w:firstLine="0"/>
        <w:rPr>
          <w:rFonts w:eastAsiaTheme="minorEastAsia"/>
          <w:lang w:eastAsia="zh-CN"/>
        </w:rPr>
      </w:pPr>
      <w:r>
        <w:rPr>
          <w:rFonts w:eastAsiaTheme="minorEastAsia"/>
          <w:lang w:eastAsia="zh-CN"/>
        </w:rPr>
        <w:t>For Case 2 (performance degradation due to UE autonomous Rx beam switch), A</w:t>
      </w:r>
      <w:r w:rsidRPr="00906A9D">
        <w:rPr>
          <w:rFonts w:eastAsiaTheme="minorEastAsia"/>
          <w:lang w:eastAsia="zh-CN"/>
        </w:rPr>
        <w:t xml:space="preserve">dditional </w:t>
      </w:r>
      <w:r>
        <w:rPr>
          <w:rFonts w:eastAsiaTheme="minorEastAsia"/>
          <w:lang w:eastAsia="zh-CN"/>
        </w:rPr>
        <w:t>clarification</w:t>
      </w:r>
      <w:r w:rsidRPr="00906A9D">
        <w:rPr>
          <w:rFonts w:eastAsiaTheme="minorEastAsia"/>
          <w:lang w:eastAsia="zh-CN"/>
        </w:rPr>
        <w:t xml:space="preserve"> notes </w:t>
      </w:r>
      <w:r>
        <w:rPr>
          <w:rFonts w:eastAsiaTheme="minorEastAsia"/>
          <w:lang w:eastAsia="zh-CN"/>
        </w:rPr>
        <w:t xml:space="preserve">may be needed to </w:t>
      </w:r>
      <w:r>
        <w:t>consider some performance degradation with a maximum limit.</w:t>
      </w:r>
    </w:p>
    <w:p w14:paraId="3DAFBD41" w14:textId="7F0C6E17" w:rsidR="003B659E" w:rsidRPr="002B12FB" w:rsidRDefault="003B659E" w:rsidP="0008612A">
      <w:pPr>
        <w:pStyle w:val="RAN4H1"/>
      </w:pPr>
      <w:r w:rsidRPr="002B12FB">
        <w:t>References</w:t>
      </w:r>
    </w:p>
    <w:p w14:paraId="19FC2F12" w14:textId="13837BD8" w:rsidR="003B659E" w:rsidRPr="00F26F7B" w:rsidRDefault="00E6539E" w:rsidP="0051112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F26F7B">
        <w:rPr>
          <w:rFonts w:eastAsia="Times New Roman" w:cs="Times New Roman"/>
          <w:szCs w:val="20"/>
          <w:lang w:val="en-GB"/>
        </w:rPr>
        <w:t>RP-202409</w:t>
      </w:r>
      <w:r w:rsidR="003B659E" w:rsidRPr="00F26F7B">
        <w:rPr>
          <w:rFonts w:eastAsia="Times New Roman" w:cs="Times New Roman"/>
          <w:szCs w:val="20"/>
          <w:lang w:val="en-GB"/>
        </w:rPr>
        <w:t xml:space="preserve">, </w:t>
      </w:r>
      <w:r w:rsidRPr="00F26F7B">
        <w:rPr>
          <w:rFonts w:eastAsia="Times New Roman" w:cs="Times New Roman"/>
          <w:bCs/>
          <w:szCs w:val="20"/>
          <w:lang w:val="en-GB"/>
        </w:rPr>
        <w:t>Revised WID Further enhancements of NR RF requirements for frequency range 2 (FR2)</w:t>
      </w:r>
      <w:r w:rsidR="003B659E" w:rsidRPr="00F26F7B">
        <w:rPr>
          <w:rFonts w:eastAsia="Times New Roman" w:cs="Times New Roman"/>
          <w:szCs w:val="20"/>
          <w:lang w:val="en-GB"/>
        </w:rPr>
        <w:t xml:space="preserve">, Nokia, </w:t>
      </w:r>
      <w:r w:rsidR="005B39A5" w:rsidRPr="00F26F7B">
        <w:rPr>
          <w:rFonts w:eastAsia="Times New Roman" w:cs="Times New Roman"/>
          <w:szCs w:val="20"/>
          <w:lang w:val="en-GB"/>
        </w:rPr>
        <w:t>Nokia</w:t>
      </w:r>
      <w:r w:rsidR="003B659E" w:rsidRPr="00F26F7B">
        <w:rPr>
          <w:rFonts w:eastAsia="Times New Roman" w:cs="Times New Roman"/>
          <w:szCs w:val="20"/>
          <w:lang w:val="en-GB"/>
        </w:rPr>
        <w:t xml:space="preserve"> Shanghai Bell</w:t>
      </w:r>
      <w:r w:rsidR="003B659E" w:rsidRPr="00F26F7B" w:rsidDel="00C651B9">
        <w:rPr>
          <w:rFonts w:eastAsia="Times New Roman" w:cs="Times New Roman"/>
          <w:szCs w:val="20"/>
          <w:lang w:val="en-GB"/>
        </w:rPr>
        <w:t xml:space="preserve"> </w:t>
      </w:r>
      <w:bookmarkEnd w:id="5"/>
    </w:p>
    <w:p w14:paraId="66BB6B28" w14:textId="011686DC" w:rsidR="00003BD7" w:rsidRDefault="00003BD7" w:rsidP="00511124">
      <w:pPr>
        <w:pStyle w:val="ListParagraph"/>
        <w:numPr>
          <w:ilvl w:val="0"/>
          <w:numId w:val="1"/>
        </w:numPr>
        <w:spacing w:after="120" w:line="240" w:lineRule="auto"/>
        <w:jc w:val="both"/>
        <w:rPr>
          <w:rFonts w:eastAsiaTheme="minorEastAsia" w:cs="Times New Roman"/>
          <w:szCs w:val="20"/>
        </w:rPr>
      </w:pPr>
      <w:r w:rsidRPr="00003BD7">
        <w:rPr>
          <w:rFonts w:eastAsiaTheme="minorEastAsia" w:cs="Times New Roman"/>
          <w:szCs w:val="20"/>
        </w:rPr>
        <w:t>R4-2202581</w:t>
      </w:r>
      <w:r w:rsidRPr="00003BD7">
        <w:rPr>
          <w:rFonts w:eastAsiaTheme="minorEastAsia" w:cs="Times New Roman"/>
          <w:szCs w:val="20"/>
        </w:rPr>
        <w:tab/>
        <w:t>WF on RRM requirements for FR2 Inter-band DL CA and UL CA</w:t>
      </w:r>
      <w:r>
        <w:rPr>
          <w:rFonts w:eastAsiaTheme="minorEastAsia" w:cs="Times New Roman"/>
          <w:szCs w:val="20"/>
        </w:rPr>
        <w:t>, Nokia, Nokia Shanghai Bell, RAN4#101e-bis</w:t>
      </w:r>
    </w:p>
    <w:p w14:paraId="2488EBEA" w14:textId="75AF0344" w:rsidR="00F2197E" w:rsidRDefault="00F2197E" w:rsidP="00511124">
      <w:pPr>
        <w:pStyle w:val="ListParagraph"/>
        <w:numPr>
          <w:ilvl w:val="0"/>
          <w:numId w:val="1"/>
        </w:numPr>
        <w:spacing w:after="120" w:line="240" w:lineRule="auto"/>
        <w:jc w:val="both"/>
        <w:rPr>
          <w:rFonts w:eastAsiaTheme="minorEastAsia" w:cs="Times New Roman"/>
          <w:szCs w:val="20"/>
        </w:rPr>
      </w:pPr>
      <w:r>
        <w:rPr>
          <w:rFonts w:eastAsiaTheme="minorEastAsia" w:cs="Times New Roman"/>
          <w:szCs w:val="20"/>
        </w:rPr>
        <w:t>R4-</w:t>
      </w:r>
      <w:r w:rsidR="00F45598">
        <w:rPr>
          <w:rFonts w:eastAsiaTheme="minorEastAsia" w:cs="Times New Roman"/>
          <w:szCs w:val="20"/>
        </w:rPr>
        <w:t>2204790</w:t>
      </w:r>
      <w:r>
        <w:rPr>
          <w:rFonts w:eastAsiaTheme="minorEastAsia" w:cs="Times New Roman"/>
          <w:szCs w:val="20"/>
        </w:rPr>
        <w:t>, discussion on Rx beam switch time, Nokia, Nokia Shanghai Bell</w:t>
      </w:r>
    </w:p>
    <w:p w14:paraId="270AA451" w14:textId="3C69FD2E" w:rsidR="00E3018A" w:rsidRPr="00A711E8" w:rsidRDefault="00F2197E" w:rsidP="00D42BC7">
      <w:pPr>
        <w:pStyle w:val="ListParagraph"/>
        <w:numPr>
          <w:ilvl w:val="0"/>
          <w:numId w:val="1"/>
        </w:numPr>
        <w:spacing w:after="120" w:line="240" w:lineRule="auto"/>
        <w:jc w:val="both"/>
        <w:rPr>
          <w:rFonts w:eastAsiaTheme="minorEastAsia" w:cs="Times New Roman"/>
          <w:szCs w:val="20"/>
        </w:rPr>
      </w:pPr>
      <w:r w:rsidRPr="00A711E8">
        <w:rPr>
          <w:rFonts w:eastAsiaTheme="minorEastAsia" w:cs="Times New Roman"/>
          <w:szCs w:val="20"/>
        </w:rPr>
        <w:t>R4-</w:t>
      </w:r>
      <w:r w:rsidR="00E20A69">
        <w:rPr>
          <w:rFonts w:eastAsiaTheme="minorEastAsia" w:cs="Times New Roman"/>
          <w:szCs w:val="20"/>
        </w:rPr>
        <w:t>220587</w:t>
      </w:r>
      <w:r w:rsidR="00DD7E67">
        <w:rPr>
          <w:rFonts w:eastAsiaTheme="minorEastAsia" w:cs="Times New Roman"/>
          <w:szCs w:val="20"/>
        </w:rPr>
        <w:t>1</w:t>
      </w:r>
      <w:r w:rsidRPr="00A711E8">
        <w:rPr>
          <w:rFonts w:eastAsiaTheme="minorEastAsia" w:cs="Times New Roman"/>
          <w:szCs w:val="20"/>
        </w:rPr>
        <w:t>, draftCR on MRTD for CBM inter-band FR2 DL CA, Nokia, Nokia Shanghai Bell</w:t>
      </w:r>
    </w:p>
    <w:p w14:paraId="7FEB6357" w14:textId="77777777" w:rsidR="00E3018A" w:rsidRPr="00E3018A" w:rsidRDefault="00E3018A" w:rsidP="00E3018A">
      <w:pPr>
        <w:spacing w:after="120" w:line="240" w:lineRule="auto"/>
        <w:jc w:val="both"/>
        <w:rPr>
          <w:rFonts w:eastAsiaTheme="minorEastAsia" w:cs="Times New Roman"/>
          <w:szCs w:val="20"/>
        </w:rPr>
      </w:pPr>
    </w:p>
    <w:p w14:paraId="7AA691D0" w14:textId="77777777" w:rsidR="003B659E" w:rsidRPr="003A17DD" w:rsidRDefault="003B659E" w:rsidP="00841BCD">
      <w:pPr>
        <w:ind w:right="-22"/>
      </w:pPr>
    </w:p>
    <w:p w14:paraId="5D01E589" w14:textId="77777777" w:rsidR="00E959B8" w:rsidRPr="00215B15" w:rsidRDefault="00E959B8" w:rsidP="00841BCD">
      <w:pPr>
        <w:ind w:right="-22"/>
        <w:rPr>
          <w:lang w:val="en-GB"/>
        </w:rPr>
      </w:pPr>
    </w:p>
    <w:sectPr w:rsidR="00E959B8" w:rsidRPr="00215B1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5ADF5" w14:textId="77777777" w:rsidR="00170418" w:rsidRDefault="00170418" w:rsidP="00001C9B">
      <w:pPr>
        <w:spacing w:after="0" w:line="240" w:lineRule="auto"/>
      </w:pPr>
      <w:r>
        <w:separator/>
      </w:r>
    </w:p>
  </w:endnote>
  <w:endnote w:type="continuationSeparator" w:id="0">
    <w:p w14:paraId="1A171E15" w14:textId="77777777" w:rsidR="00170418" w:rsidRDefault="00170418" w:rsidP="00001C9B">
      <w:pPr>
        <w:spacing w:after="0" w:line="240" w:lineRule="auto"/>
      </w:pPr>
      <w:r>
        <w:continuationSeparator/>
      </w:r>
    </w:p>
  </w:endnote>
  <w:endnote w:type="continuationNotice" w:id="1">
    <w:p w14:paraId="3CA25A76" w14:textId="77777777" w:rsidR="00170418" w:rsidRDefault="00170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altName w:val="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9C130" w14:textId="77777777" w:rsidR="00170418" w:rsidRDefault="00170418" w:rsidP="00001C9B">
      <w:pPr>
        <w:spacing w:after="0" w:line="240" w:lineRule="auto"/>
      </w:pPr>
      <w:r>
        <w:separator/>
      </w:r>
    </w:p>
  </w:footnote>
  <w:footnote w:type="continuationSeparator" w:id="0">
    <w:p w14:paraId="09CD2909" w14:textId="77777777" w:rsidR="00170418" w:rsidRDefault="00170418" w:rsidP="00001C9B">
      <w:pPr>
        <w:spacing w:after="0" w:line="240" w:lineRule="auto"/>
      </w:pPr>
      <w:r>
        <w:continuationSeparator/>
      </w:r>
    </w:p>
  </w:footnote>
  <w:footnote w:type="continuationNotice" w:id="1">
    <w:p w14:paraId="457CFD06" w14:textId="77777777" w:rsidR="00170418" w:rsidRDefault="00170418">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6E4EA3"/>
    <w:multiLevelType w:val="hybridMultilevel"/>
    <w:tmpl w:val="9DE25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26FDF"/>
    <w:multiLevelType w:val="hybridMultilevel"/>
    <w:tmpl w:val="0EECBB62"/>
    <w:lvl w:ilvl="0" w:tplc="2B0E38D8">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0932E1E"/>
    <w:multiLevelType w:val="multilevel"/>
    <w:tmpl w:val="C31471D4"/>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80"/>
        </w:tabs>
        <w:ind w:left="180" w:hanging="360"/>
      </w:pPr>
      <w:rPr>
        <w:rFonts w:ascii="Symbol" w:hAnsi="Symbol" w:hint="default"/>
        <w:sz w:val="20"/>
      </w:rPr>
    </w:lvl>
    <w:lvl w:ilvl="2">
      <w:start w:val="1"/>
      <w:numFmt w:val="bullet"/>
      <w:lvlText w:val=""/>
      <w:lvlJc w:val="left"/>
      <w:pPr>
        <w:tabs>
          <w:tab w:val="num" w:pos="900"/>
        </w:tabs>
        <w:ind w:left="900" w:hanging="360"/>
      </w:pPr>
      <w:rPr>
        <w:rFonts w:ascii="Symbol" w:hAnsi="Symbol" w:hint="default"/>
        <w:sz w:val="20"/>
      </w:rPr>
    </w:lvl>
    <w:lvl w:ilvl="3" w:tentative="1">
      <w:start w:val="1"/>
      <w:numFmt w:val="bullet"/>
      <w:lvlText w:val=""/>
      <w:lvlJc w:val="left"/>
      <w:pPr>
        <w:tabs>
          <w:tab w:val="num" w:pos="1620"/>
        </w:tabs>
        <w:ind w:left="1620" w:hanging="360"/>
      </w:pPr>
      <w:rPr>
        <w:rFonts w:ascii="Symbol" w:hAnsi="Symbol" w:hint="default"/>
        <w:sz w:val="20"/>
      </w:rPr>
    </w:lvl>
    <w:lvl w:ilvl="4" w:tentative="1">
      <w:start w:val="1"/>
      <w:numFmt w:val="bullet"/>
      <w:lvlText w:val=""/>
      <w:lvlJc w:val="left"/>
      <w:pPr>
        <w:tabs>
          <w:tab w:val="num" w:pos="2340"/>
        </w:tabs>
        <w:ind w:left="2340" w:hanging="360"/>
      </w:pPr>
      <w:rPr>
        <w:rFonts w:ascii="Symbol" w:hAnsi="Symbol" w:hint="default"/>
        <w:sz w:val="20"/>
      </w:rPr>
    </w:lvl>
    <w:lvl w:ilvl="5" w:tentative="1">
      <w:start w:val="1"/>
      <w:numFmt w:val="bullet"/>
      <w:lvlText w:val=""/>
      <w:lvlJc w:val="left"/>
      <w:pPr>
        <w:tabs>
          <w:tab w:val="num" w:pos="3060"/>
        </w:tabs>
        <w:ind w:left="3060" w:hanging="360"/>
      </w:pPr>
      <w:rPr>
        <w:rFonts w:ascii="Symbol" w:hAnsi="Symbol" w:hint="default"/>
        <w:sz w:val="20"/>
      </w:rPr>
    </w:lvl>
    <w:lvl w:ilvl="6" w:tentative="1">
      <w:start w:val="1"/>
      <w:numFmt w:val="bullet"/>
      <w:lvlText w:val=""/>
      <w:lvlJc w:val="left"/>
      <w:pPr>
        <w:tabs>
          <w:tab w:val="num" w:pos="3780"/>
        </w:tabs>
        <w:ind w:left="3780" w:hanging="360"/>
      </w:pPr>
      <w:rPr>
        <w:rFonts w:ascii="Symbol" w:hAnsi="Symbol" w:hint="default"/>
        <w:sz w:val="20"/>
      </w:rPr>
    </w:lvl>
    <w:lvl w:ilvl="7" w:tentative="1">
      <w:start w:val="1"/>
      <w:numFmt w:val="bullet"/>
      <w:lvlText w:val=""/>
      <w:lvlJc w:val="left"/>
      <w:pPr>
        <w:tabs>
          <w:tab w:val="num" w:pos="4500"/>
        </w:tabs>
        <w:ind w:left="4500" w:hanging="360"/>
      </w:pPr>
      <w:rPr>
        <w:rFonts w:ascii="Symbol" w:hAnsi="Symbol" w:hint="default"/>
        <w:sz w:val="20"/>
      </w:rPr>
    </w:lvl>
    <w:lvl w:ilvl="8" w:tentative="1">
      <w:start w:val="1"/>
      <w:numFmt w:val="bullet"/>
      <w:lvlText w:val=""/>
      <w:lvlJc w:val="left"/>
      <w:pPr>
        <w:tabs>
          <w:tab w:val="num" w:pos="5220"/>
        </w:tabs>
        <w:ind w:left="5220" w:hanging="360"/>
      </w:pPr>
      <w:rPr>
        <w:rFonts w:ascii="Symbol" w:hAnsi="Symbol" w:hint="default"/>
        <w:sz w:val="20"/>
      </w:rPr>
    </w:lvl>
  </w:abstractNum>
  <w:abstractNum w:abstractNumId="5" w15:restartNumberingAfterBreak="0">
    <w:nsid w:val="3E1E363B"/>
    <w:multiLevelType w:val="hybridMultilevel"/>
    <w:tmpl w:val="6704795E"/>
    <w:lvl w:ilvl="0" w:tplc="3AFAF210">
      <w:start w:val="1"/>
      <w:numFmt w:val="bullet"/>
      <w:lvlText w:val="•"/>
      <w:lvlJc w:val="left"/>
      <w:pPr>
        <w:tabs>
          <w:tab w:val="num" w:pos="360"/>
        </w:tabs>
        <w:ind w:left="360" w:hanging="360"/>
      </w:pPr>
      <w:rPr>
        <w:rFonts w:ascii="Arial" w:hAnsi="Arial" w:hint="default"/>
      </w:rPr>
    </w:lvl>
    <w:lvl w:ilvl="1" w:tplc="DD0241D6">
      <w:numFmt w:val="bullet"/>
      <w:lvlText w:val="•"/>
      <w:lvlJc w:val="left"/>
      <w:pPr>
        <w:tabs>
          <w:tab w:val="num" w:pos="1080"/>
        </w:tabs>
        <w:ind w:left="1080" w:hanging="360"/>
      </w:pPr>
      <w:rPr>
        <w:rFonts w:ascii="Arial" w:hAnsi="Arial" w:hint="default"/>
      </w:rPr>
    </w:lvl>
    <w:lvl w:ilvl="2" w:tplc="0666E2C6">
      <w:numFmt w:val="bullet"/>
      <w:lvlText w:val="o"/>
      <w:lvlJc w:val="left"/>
      <w:pPr>
        <w:tabs>
          <w:tab w:val="num" w:pos="1800"/>
        </w:tabs>
        <w:ind w:left="1800" w:hanging="360"/>
      </w:pPr>
      <w:rPr>
        <w:rFonts w:ascii="Courier New" w:hAnsi="Courier New" w:hint="default"/>
      </w:rPr>
    </w:lvl>
    <w:lvl w:ilvl="3" w:tplc="82CC5E4C">
      <w:numFmt w:val="bullet"/>
      <w:lvlText w:val=""/>
      <w:lvlJc w:val="left"/>
      <w:pPr>
        <w:tabs>
          <w:tab w:val="num" w:pos="2520"/>
        </w:tabs>
        <w:ind w:left="2520" w:hanging="360"/>
      </w:pPr>
      <w:rPr>
        <w:rFonts w:ascii="Wingdings" w:hAnsi="Wingdings" w:hint="default"/>
      </w:rPr>
    </w:lvl>
    <w:lvl w:ilvl="4" w:tplc="E326AC4C">
      <w:numFmt w:val="bullet"/>
      <w:lvlText w:val=""/>
      <w:lvlJc w:val="left"/>
      <w:pPr>
        <w:tabs>
          <w:tab w:val="num" w:pos="3240"/>
        </w:tabs>
        <w:ind w:left="3240" w:hanging="360"/>
      </w:pPr>
      <w:rPr>
        <w:rFonts w:ascii="Symbol" w:hAnsi="Symbol" w:hint="default"/>
      </w:rPr>
    </w:lvl>
    <w:lvl w:ilvl="5" w:tplc="59626B20" w:tentative="1">
      <w:start w:val="1"/>
      <w:numFmt w:val="bullet"/>
      <w:lvlText w:val="•"/>
      <w:lvlJc w:val="left"/>
      <w:pPr>
        <w:tabs>
          <w:tab w:val="num" w:pos="3960"/>
        </w:tabs>
        <w:ind w:left="3960" w:hanging="360"/>
      </w:pPr>
      <w:rPr>
        <w:rFonts w:ascii="Arial" w:hAnsi="Arial" w:hint="default"/>
      </w:rPr>
    </w:lvl>
    <w:lvl w:ilvl="6" w:tplc="1696FFB2" w:tentative="1">
      <w:start w:val="1"/>
      <w:numFmt w:val="bullet"/>
      <w:lvlText w:val="•"/>
      <w:lvlJc w:val="left"/>
      <w:pPr>
        <w:tabs>
          <w:tab w:val="num" w:pos="4680"/>
        </w:tabs>
        <w:ind w:left="4680" w:hanging="360"/>
      </w:pPr>
      <w:rPr>
        <w:rFonts w:ascii="Arial" w:hAnsi="Arial" w:hint="default"/>
      </w:rPr>
    </w:lvl>
    <w:lvl w:ilvl="7" w:tplc="E7B46576" w:tentative="1">
      <w:start w:val="1"/>
      <w:numFmt w:val="bullet"/>
      <w:lvlText w:val="•"/>
      <w:lvlJc w:val="left"/>
      <w:pPr>
        <w:tabs>
          <w:tab w:val="num" w:pos="5400"/>
        </w:tabs>
        <w:ind w:left="5400" w:hanging="360"/>
      </w:pPr>
      <w:rPr>
        <w:rFonts w:ascii="Arial" w:hAnsi="Arial" w:hint="default"/>
      </w:rPr>
    </w:lvl>
    <w:lvl w:ilvl="8" w:tplc="EA4C26F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6B43B9D"/>
    <w:multiLevelType w:val="hybridMultilevel"/>
    <w:tmpl w:val="97F62F6A"/>
    <w:lvl w:ilvl="0" w:tplc="380C7AD2">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4635D8"/>
    <w:multiLevelType w:val="hybridMultilevel"/>
    <w:tmpl w:val="D270A5AE"/>
    <w:lvl w:ilvl="0" w:tplc="A3E62A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267C66"/>
    <w:multiLevelType w:val="hybridMultilevel"/>
    <w:tmpl w:val="7C809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6"/>
  </w:num>
  <w:num w:numId="4">
    <w:abstractNumId w:val="7"/>
  </w:num>
  <w:num w:numId="5">
    <w:abstractNumId w:val="11"/>
  </w:num>
  <w:num w:numId="6">
    <w:abstractNumId w:val="5"/>
  </w:num>
  <w:num w:numId="7">
    <w:abstractNumId w:val="7"/>
    <w:lvlOverride w:ilvl="0">
      <w:startOverride w:val="1"/>
    </w:lvlOverride>
  </w:num>
  <w:num w:numId="8">
    <w:abstractNumId w:val="10"/>
  </w:num>
  <w:num w:numId="9">
    <w:abstractNumId w:val="12"/>
  </w:num>
  <w:num w:numId="10">
    <w:abstractNumId w:val="9"/>
  </w:num>
  <w:num w:numId="11">
    <w:abstractNumId w:val="2"/>
  </w:num>
  <w:num w:numId="12">
    <w:abstractNumId w:val="4"/>
  </w:num>
  <w:num w:numId="13">
    <w:abstractNumId w:val="6"/>
    <w:lvlOverride w:ilvl="0">
      <w:startOverride w:val="1"/>
    </w:lvlOverride>
  </w:num>
  <w:num w:numId="14">
    <w:abstractNumId w:val="3"/>
  </w:num>
  <w:num w:numId="15">
    <w:abstractNumId w:val="12"/>
  </w:num>
  <w:num w:numId="16">
    <w:abstractNumId w:val="10"/>
  </w:num>
  <w:num w:numId="17">
    <w:abstractNumId w:val="1"/>
  </w:num>
  <w:num w:numId="18">
    <w:abstractNumId w:val="6"/>
  </w:num>
  <w:num w:numId="19">
    <w:abstractNumId w:val="7"/>
  </w:num>
  <w:num w:numId="20">
    <w:abstractNumId w:val="6"/>
    <w:lvlOverride w:ilvl="0">
      <w:startOverride w:val="1"/>
    </w:lvlOverride>
  </w:num>
  <w:num w:numId="21">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530"/>
    <w:rsid w:val="00001C9B"/>
    <w:rsid w:val="00003BD7"/>
    <w:rsid w:val="000056A0"/>
    <w:rsid w:val="00006518"/>
    <w:rsid w:val="00010FB1"/>
    <w:rsid w:val="000132EC"/>
    <w:rsid w:val="00013DE4"/>
    <w:rsid w:val="0001458C"/>
    <w:rsid w:val="0001478E"/>
    <w:rsid w:val="00016C58"/>
    <w:rsid w:val="0002013C"/>
    <w:rsid w:val="0002036A"/>
    <w:rsid w:val="000211FA"/>
    <w:rsid w:val="00021D52"/>
    <w:rsid w:val="000232DA"/>
    <w:rsid w:val="00023493"/>
    <w:rsid w:val="00023D56"/>
    <w:rsid w:val="00024831"/>
    <w:rsid w:val="00024DFC"/>
    <w:rsid w:val="000269E7"/>
    <w:rsid w:val="00031BED"/>
    <w:rsid w:val="00031FB5"/>
    <w:rsid w:val="0003237C"/>
    <w:rsid w:val="00033C42"/>
    <w:rsid w:val="000341BB"/>
    <w:rsid w:val="00034E66"/>
    <w:rsid w:val="00037B05"/>
    <w:rsid w:val="00040F9D"/>
    <w:rsid w:val="00041C1D"/>
    <w:rsid w:val="000422A0"/>
    <w:rsid w:val="00042AE3"/>
    <w:rsid w:val="00046699"/>
    <w:rsid w:val="000514C6"/>
    <w:rsid w:val="00051C98"/>
    <w:rsid w:val="00055378"/>
    <w:rsid w:val="00057208"/>
    <w:rsid w:val="0006048E"/>
    <w:rsid w:val="00061FA6"/>
    <w:rsid w:val="000621DD"/>
    <w:rsid w:val="000627FA"/>
    <w:rsid w:val="0006320A"/>
    <w:rsid w:val="00063F21"/>
    <w:rsid w:val="000652DE"/>
    <w:rsid w:val="00065AE1"/>
    <w:rsid w:val="000667B9"/>
    <w:rsid w:val="00066DCA"/>
    <w:rsid w:val="00067DC0"/>
    <w:rsid w:val="00067E62"/>
    <w:rsid w:val="00070189"/>
    <w:rsid w:val="0007172B"/>
    <w:rsid w:val="00071C2F"/>
    <w:rsid w:val="00073231"/>
    <w:rsid w:val="000764B3"/>
    <w:rsid w:val="00076B37"/>
    <w:rsid w:val="00080E04"/>
    <w:rsid w:val="00080FFA"/>
    <w:rsid w:val="00081E76"/>
    <w:rsid w:val="000833BF"/>
    <w:rsid w:val="00084EDA"/>
    <w:rsid w:val="0008612A"/>
    <w:rsid w:val="0009177E"/>
    <w:rsid w:val="0009472C"/>
    <w:rsid w:val="00097F5A"/>
    <w:rsid w:val="000A010D"/>
    <w:rsid w:val="000A2455"/>
    <w:rsid w:val="000A2930"/>
    <w:rsid w:val="000A576C"/>
    <w:rsid w:val="000A5AFE"/>
    <w:rsid w:val="000A6DC0"/>
    <w:rsid w:val="000A7EF2"/>
    <w:rsid w:val="000B0056"/>
    <w:rsid w:val="000B0BAD"/>
    <w:rsid w:val="000B116F"/>
    <w:rsid w:val="000B35C1"/>
    <w:rsid w:val="000B3689"/>
    <w:rsid w:val="000B3E45"/>
    <w:rsid w:val="000B4D26"/>
    <w:rsid w:val="000B6BCA"/>
    <w:rsid w:val="000B6D83"/>
    <w:rsid w:val="000C2D81"/>
    <w:rsid w:val="000C3147"/>
    <w:rsid w:val="000C3E47"/>
    <w:rsid w:val="000C5336"/>
    <w:rsid w:val="000D5BA6"/>
    <w:rsid w:val="000D6666"/>
    <w:rsid w:val="000D671E"/>
    <w:rsid w:val="000D7F35"/>
    <w:rsid w:val="000E0A14"/>
    <w:rsid w:val="000E0C06"/>
    <w:rsid w:val="000E344D"/>
    <w:rsid w:val="000E5433"/>
    <w:rsid w:val="000F1F67"/>
    <w:rsid w:val="000F2C79"/>
    <w:rsid w:val="000F551A"/>
    <w:rsid w:val="000F7114"/>
    <w:rsid w:val="000F753D"/>
    <w:rsid w:val="001002C2"/>
    <w:rsid w:val="00101157"/>
    <w:rsid w:val="00101AD0"/>
    <w:rsid w:val="00101C02"/>
    <w:rsid w:val="00104075"/>
    <w:rsid w:val="00104346"/>
    <w:rsid w:val="00105085"/>
    <w:rsid w:val="0010671C"/>
    <w:rsid w:val="00106825"/>
    <w:rsid w:val="001103BE"/>
    <w:rsid w:val="00115888"/>
    <w:rsid w:val="0011638E"/>
    <w:rsid w:val="00116876"/>
    <w:rsid w:val="00117CF8"/>
    <w:rsid w:val="0012242B"/>
    <w:rsid w:val="00123BFE"/>
    <w:rsid w:val="00124446"/>
    <w:rsid w:val="00124B44"/>
    <w:rsid w:val="00126701"/>
    <w:rsid w:val="0012797A"/>
    <w:rsid w:val="00131981"/>
    <w:rsid w:val="00133862"/>
    <w:rsid w:val="00133EEC"/>
    <w:rsid w:val="00135A68"/>
    <w:rsid w:val="0013691A"/>
    <w:rsid w:val="0014090F"/>
    <w:rsid w:val="00141D43"/>
    <w:rsid w:val="00142289"/>
    <w:rsid w:val="001429D7"/>
    <w:rsid w:val="00145229"/>
    <w:rsid w:val="00145A84"/>
    <w:rsid w:val="0014791F"/>
    <w:rsid w:val="00147DC4"/>
    <w:rsid w:val="00147E99"/>
    <w:rsid w:val="00147F2F"/>
    <w:rsid w:val="00151C5E"/>
    <w:rsid w:val="0015315F"/>
    <w:rsid w:val="001532C7"/>
    <w:rsid w:val="00153D0A"/>
    <w:rsid w:val="00153FB1"/>
    <w:rsid w:val="001546D0"/>
    <w:rsid w:val="001556E2"/>
    <w:rsid w:val="00160FED"/>
    <w:rsid w:val="00161DDE"/>
    <w:rsid w:val="001640B4"/>
    <w:rsid w:val="00164180"/>
    <w:rsid w:val="00164AA3"/>
    <w:rsid w:val="00164B04"/>
    <w:rsid w:val="00164F25"/>
    <w:rsid w:val="001664EA"/>
    <w:rsid w:val="0016714D"/>
    <w:rsid w:val="00167796"/>
    <w:rsid w:val="00170418"/>
    <w:rsid w:val="001705CD"/>
    <w:rsid w:val="001745F8"/>
    <w:rsid w:val="00176671"/>
    <w:rsid w:val="001771AF"/>
    <w:rsid w:val="0018032E"/>
    <w:rsid w:val="0018383D"/>
    <w:rsid w:val="001838CF"/>
    <w:rsid w:val="00183E05"/>
    <w:rsid w:val="00187071"/>
    <w:rsid w:val="00190218"/>
    <w:rsid w:val="00190F6B"/>
    <w:rsid w:val="00191E42"/>
    <w:rsid w:val="0019275B"/>
    <w:rsid w:val="00194577"/>
    <w:rsid w:val="00195097"/>
    <w:rsid w:val="001A0ABD"/>
    <w:rsid w:val="001A3395"/>
    <w:rsid w:val="001A6FBA"/>
    <w:rsid w:val="001B0EA3"/>
    <w:rsid w:val="001B0ED1"/>
    <w:rsid w:val="001B0F8A"/>
    <w:rsid w:val="001B10BA"/>
    <w:rsid w:val="001B162E"/>
    <w:rsid w:val="001B17AD"/>
    <w:rsid w:val="001B2F06"/>
    <w:rsid w:val="001B3024"/>
    <w:rsid w:val="001B3467"/>
    <w:rsid w:val="001B40A5"/>
    <w:rsid w:val="001B6291"/>
    <w:rsid w:val="001B6E09"/>
    <w:rsid w:val="001C001D"/>
    <w:rsid w:val="001C0777"/>
    <w:rsid w:val="001C285D"/>
    <w:rsid w:val="001C2F6D"/>
    <w:rsid w:val="001C2F7C"/>
    <w:rsid w:val="001C439C"/>
    <w:rsid w:val="001C43A6"/>
    <w:rsid w:val="001C43B9"/>
    <w:rsid w:val="001C44B4"/>
    <w:rsid w:val="001C4A4A"/>
    <w:rsid w:val="001C7745"/>
    <w:rsid w:val="001C7F2D"/>
    <w:rsid w:val="001D0708"/>
    <w:rsid w:val="001D1BAD"/>
    <w:rsid w:val="001D21AB"/>
    <w:rsid w:val="001D48EA"/>
    <w:rsid w:val="001D6910"/>
    <w:rsid w:val="001E2375"/>
    <w:rsid w:val="001E2C40"/>
    <w:rsid w:val="001E30F6"/>
    <w:rsid w:val="001E429B"/>
    <w:rsid w:val="001E455A"/>
    <w:rsid w:val="001E55AB"/>
    <w:rsid w:val="001E6182"/>
    <w:rsid w:val="001E66AE"/>
    <w:rsid w:val="001F087E"/>
    <w:rsid w:val="001F0F9B"/>
    <w:rsid w:val="001F2850"/>
    <w:rsid w:val="001F34C9"/>
    <w:rsid w:val="001F3614"/>
    <w:rsid w:val="001F3974"/>
    <w:rsid w:val="001F4A44"/>
    <w:rsid w:val="001F4E14"/>
    <w:rsid w:val="001F5431"/>
    <w:rsid w:val="001F5B89"/>
    <w:rsid w:val="001F6D6A"/>
    <w:rsid w:val="001F7CF6"/>
    <w:rsid w:val="0020226F"/>
    <w:rsid w:val="002028C9"/>
    <w:rsid w:val="00202C59"/>
    <w:rsid w:val="00202C84"/>
    <w:rsid w:val="00205ABF"/>
    <w:rsid w:val="002066EB"/>
    <w:rsid w:val="0020787E"/>
    <w:rsid w:val="002133B1"/>
    <w:rsid w:val="00214651"/>
    <w:rsid w:val="00215170"/>
    <w:rsid w:val="002155E1"/>
    <w:rsid w:val="0021570E"/>
    <w:rsid w:val="00215A47"/>
    <w:rsid w:val="00215B15"/>
    <w:rsid w:val="00217930"/>
    <w:rsid w:val="00220FC1"/>
    <w:rsid w:val="002223AD"/>
    <w:rsid w:val="002228A7"/>
    <w:rsid w:val="00222C5D"/>
    <w:rsid w:val="002235EF"/>
    <w:rsid w:val="00224B6B"/>
    <w:rsid w:val="00225F97"/>
    <w:rsid w:val="0023302E"/>
    <w:rsid w:val="00233F04"/>
    <w:rsid w:val="002346D8"/>
    <w:rsid w:val="0023555A"/>
    <w:rsid w:val="00235F5C"/>
    <w:rsid w:val="00236713"/>
    <w:rsid w:val="002406FD"/>
    <w:rsid w:val="00243397"/>
    <w:rsid w:val="0024369B"/>
    <w:rsid w:val="00244650"/>
    <w:rsid w:val="00247A2E"/>
    <w:rsid w:val="00247FF2"/>
    <w:rsid w:val="002509D4"/>
    <w:rsid w:val="002511DF"/>
    <w:rsid w:val="0025270A"/>
    <w:rsid w:val="00253418"/>
    <w:rsid w:val="00255263"/>
    <w:rsid w:val="00255C99"/>
    <w:rsid w:val="00256F5C"/>
    <w:rsid w:val="00261517"/>
    <w:rsid w:val="00261F4C"/>
    <w:rsid w:val="002645DC"/>
    <w:rsid w:val="00264F98"/>
    <w:rsid w:val="00272EE0"/>
    <w:rsid w:val="00273C28"/>
    <w:rsid w:val="00275274"/>
    <w:rsid w:val="00281915"/>
    <w:rsid w:val="002837C7"/>
    <w:rsid w:val="00283E54"/>
    <w:rsid w:val="00283F59"/>
    <w:rsid w:val="002848CE"/>
    <w:rsid w:val="002861B2"/>
    <w:rsid w:val="002907C9"/>
    <w:rsid w:val="00291840"/>
    <w:rsid w:val="002923AC"/>
    <w:rsid w:val="00293023"/>
    <w:rsid w:val="002933F6"/>
    <w:rsid w:val="00293ADE"/>
    <w:rsid w:val="002952DF"/>
    <w:rsid w:val="00295EAF"/>
    <w:rsid w:val="002A169C"/>
    <w:rsid w:val="002A3FEB"/>
    <w:rsid w:val="002A4579"/>
    <w:rsid w:val="002A4EE9"/>
    <w:rsid w:val="002A504B"/>
    <w:rsid w:val="002B12FB"/>
    <w:rsid w:val="002B3434"/>
    <w:rsid w:val="002B45FC"/>
    <w:rsid w:val="002B4922"/>
    <w:rsid w:val="002B5015"/>
    <w:rsid w:val="002B560C"/>
    <w:rsid w:val="002B5C89"/>
    <w:rsid w:val="002B6FEF"/>
    <w:rsid w:val="002B7420"/>
    <w:rsid w:val="002B783D"/>
    <w:rsid w:val="002C0726"/>
    <w:rsid w:val="002C2D19"/>
    <w:rsid w:val="002C3039"/>
    <w:rsid w:val="002C3346"/>
    <w:rsid w:val="002C45AE"/>
    <w:rsid w:val="002C51F0"/>
    <w:rsid w:val="002C65D5"/>
    <w:rsid w:val="002C6E7E"/>
    <w:rsid w:val="002C7EB2"/>
    <w:rsid w:val="002D06C9"/>
    <w:rsid w:val="002D081B"/>
    <w:rsid w:val="002D10FA"/>
    <w:rsid w:val="002D1431"/>
    <w:rsid w:val="002D216C"/>
    <w:rsid w:val="002D2B2E"/>
    <w:rsid w:val="002D2F84"/>
    <w:rsid w:val="002D3341"/>
    <w:rsid w:val="002D4C55"/>
    <w:rsid w:val="002D62E1"/>
    <w:rsid w:val="002D7DF7"/>
    <w:rsid w:val="002E08B6"/>
    <w:rsid w:val="002E12F4"/>
    <w:rsid w:val="002E1570"/>
    <w:rsid w:val="002E2732"/>
    <w:rsid w:val="002E2979"/>
    <w:rsid w:val="002E38BF"/>
    <w:rsid w:val="002E6343"/>
    <w:rsid w:val="002E638F"/>
    <w:rsid w:val="002F13AC"/>
    <w:rsid w:val="002F4127"/>
    <w:rsid w:val="002F5251"/>
    <w:rsid w:val="002F5475"/>
    <w:rsid w:val="002F7980"/>
    <w:rsid w:val="0030038D"/>
    <w:rsid w:val="00301CEF"/>
    <w:rsid w:val="003020EB"/>
    <w:rsid w:val="00302FB7"/>
    <w:rsid w:val="00307BC0"/>
    <w:rsid w:val="003112BD"/>
    <w:rsid w:val="003149E5"/>
    <w:rsid w:val="003162B9"/>
    <w:rsid w:val="00316E60"/>
    <w:rsid w:val="00317A94"/>
    <w:rsid w:val="0032111D"/>
    <w:rsid w:val="00327018"/>
    <w:rsid w:val="0033020C"/>
    <w:rsid w:val="003314AD"/>
    <w:rsid w:val="00331E3A"/>
    <w:rsid w:val="00333390"/>
    <w:rsid w:val="00333E8F"/>
    <w:rsid w:val="0033474C"/>
    <w:rsid w:val="00336139"/>
    <w:rsid w:val="00336E79"/>
    <w:rsid w:val="00337521"/>
    <w:rsid w:val="00341D4F"/>
    <w:rsid w:val="00342201"/>
    <w:rsid w:val="0034492D"/>
    <w:rsid w:val="0034555C"/>
    <w:rsid w:val="00346608"/>
    <w:rsid w:val="00346632"/>
    <w:rsid w:val="003474E9"/>
    <w:rsid w:val="00347722"/>
    <w:rsid w:val="003509B2"/>
    <w:rsid w:val="00350A40"/>
    <w:rsid w:val="00351994"/>
    <w:rsid w:val="00351B72"/>
    <w:rsid w:val="00351D7D"/>
    <w:rsid w:val="003523F1"/>
    <w:rsid w:val="003538DB"/>
    <w:rsid w:val="003552E0"/>
    <w:rsid w:val="00355ACF"/>
    <w:rsid w:val="00355B07"/>
    <w:rsid w:val="003569A3"/>
    <w:rsid w:val="00357E49"/>
    <w:rsid w:val="00363082"/>
    <w:rsid w:val="00363094"/>
    <w:rsid w:val="00363CF1"/>
    <w:rsid w:val="00370753"/>
    <w:rsid w:val="0037125B"/>
    <w:rsid w:val="00375842"/>
    <w:rsid w:val="00377A03"/>
    <w:rsid w:val="00380B96"/>
    <w:rsid w:val="00384B61"/>
    <w:rsid w:val="00386DE5"/>
    <w:rsid w:val="00386EF8"/>
    <w:rsid w:val="0039101D"/>
    <w:rsid w:val="00391460"/>
    <w:rsid w:val="003916CC"/>
    <w:rsid w:val="003921B0"/>
    <w:rsid w:val="0039291C"/>
    <w:rsid w:val="00392B04"/>
    <w:rsid w:val="0039467D"/>
    <w:rsid w:val="00395189"/>
    <w:rsid w:val="0039581A"/>
    <w:rsid w:val="003A17DD"/>
    <w:rsid w:val="003A2591"/>
    <w:rsid w:val="003A3589"/>
    <w:rsid w:val="003A5B64"/>
    <w:rsid w:val="003A62B8"/>
    <w:rsid w:val="003A7CEB"/>
    <w:rsid w:val="003B08CB"/>
    <w:rsid w:val="003B15AE"/>
    <w:rsid w:val="003B17BE"/>
    <w:rsid w:val="003B187B"/>
    <w:rsid w:val="003B1E98"/>
    <w:rsid w:val="003B56CC"/>
    <w:rsid w:val="003B659E"/>
    <w:rsid w:val="003C1CBB"/>
    <w:rsid w:val="003C1E74"/>
    <w:rsid w:val="003C3B23"/>
    <w:rsid w:val="003C3C66"/>
    <w:rsid w:val="003C618A"/>
    <w:rsid w:val="003C6840"/>
    <w:rsid w:val="003D01B1"/>
    <w:rsid w:val="003D21DD"/>
    <w:rsid w:val="003D26CB"/>
    <w:rsid w:val="003D3156"/>
    <w:rsid w:val="003D3B67"/>
    <w:rsid w:val="003D4012"/>
    <w:rsid w:val="003D59F0"/>
    <w:rsid w:val="003D5B65"/>
    <w:rsid w:val="003D68CC"/>
    <w:rsid w:val="003D6E11"/>
    <w:rsid w:val="003D7418"/>
    <w:rsid w:val="003D7765"/>
    <w:rsid w:val="003D785D"/>
    <w:rsid w:val="003E0DC2"/>
    <w:rsid w:val="003E1997"/>
    <w:rsid w:val="003E2560"/>
    <w:rsid w:val="003E309F"/>
    <w:rsid w:val="003E49DF"/>
    <w:rsid w:val="003E5134"/>
    <w:rsid w:val="003E57AC"/>
    <w:rsid w:val="003E65BD"/>
    <w:rsid w:val="003F5DA3"/>
    <w:rsid w:val="00400C1D"/>
    <w:rsid w:val="00401E15"/>
    <w:rsid w:val="00401E83"/>
    <w:rsid w:val="0040395A"/>
    <w:rsid w:val="00403A8A"/>
    <w:rsid w:val="00403E29"/>
    <w:rsid w:val="004132EB"/>
    <w:rsid w:val="004139DD"/>
    <w:rsid w:val="00415BFB"/>
    <w:rsid w:val="00417AA0"/>
    <w:rsid w:val="004202C8"/>
    <w:rsid w:val="004209EF"/>
    <w:rsid w:val="00422572"/>
    <w:rsid w:val="00423EA9"/>
    <w:rsid w:val="00424FC5"/>
    <w:rsid w:val="00426813"/>
    <w:rsid w:val="004268C2"/>
    <w:rsid w:val="00426C05"/>
    <w:rsid w:val="004278FB"/>
    <w:rsid w:val="0043153B"/>
    <w:rsid w:val="00432D5A"/>
    <w:rsid w:val="004340CE"/>
    <w:rsid w:val="004358EF"/>
    <w:rsid w:val="00435D95"/>
    <w:rsid w:val="0043750A"/>
    <w:rsid w:val="004433E3"/>
    <w:rsid w:val="00443AF0"/>
    <w:rsid w:val="00445154"/>
    <w:rsid w:val="0044743E"/>
    <w:rsid w:val="00447816"/>
    <w:rsid w:val="00451E44"/>
    <w:rsid w:val="00451F8A"/>
    <w:rsid w:val="00452B69"/>
    <w:rsid w:val="0045342F"/>
    <w:rsid w:val="00461ADF"/>
    <w:rsid w:val="00463025"/>
    <w:rsid w:val="00465131"/>
    <w:rsid w:val="00465C42"/>
    <w:rsid w:val="0046626D"/>
    <w:rsid w:val="00470AB8"/>
    <w:rsid w:val="00470F1B"/>
    <w:rsid w:val="00471DF5"/>
    <w:rsid w:val="0047217C"/>
    <w:rsid w:val="00472BDD"/>
    <w:rsid w:val="00475731"/>
    <w:rsid w:val="004758A3"/>
    <w:rsid w:val="00477B65"/>
    <w:rsid w:val="00482660"/>
    <w:rsid w:val="00483394"/>
    <w:rsid w:val="0048659B"/>
    <w:rsid w:val="004869E2"/>
    <w:rsid w:val="004872A2"/>
    <w:rsid w:val="0049014C"/>
    <w:rsid w:val="0049127F"/>
    <w:rsid w:val="00492521"/>
    <w:rsid w:val="004A02BD"/>
    <w:rsid w:val="004A5119"/>
    <w:rsid w:val="004A57F5"/>
    <w:rsid w:val="004A5EA7"/>
    <w:rsid w:val="004A6C0D"/>
    <w:rsid w:val="004A7874"/>
    <w:rsid w:val="004B03A5"/>
    <w:rsid w:val="004B0777"/>
    <w:rsid w:val="004B1860"/>
    <w:rsid w:val="004B222F"/>
    <w:rsid w:val="004B2525"/>
    <w:rsid w:val="004B3A1B"/>
    <w:rsid w:val="004B4478"/>
    <w:rsid w:val="004B4EAE"/>
    <w:rsid w:val="004B56D0"/>
    <w:rsid w:val="004B7B4A"/>
    <w:rsid w:val="004C08B7"/>
    <w:rsid w:val="004C2AB7"/>
    <w:rsid w:val="004C4005"/>
    <w:rsid w:val="004C53DA"/>
    <w:rsid w:val="004C57BF"/>
    <w:rsid w:val="004C5A25"/>
    <w:rsid w:val="004C7797"/>
    <w:rsid w:val="004D01AD"/>
    <w:rsid w:val="004D2F3C"/>
    <w:rsid w:val="004D317A"/>
    <w:rsid w:val="004E028A"/>
    <w:rsid w:val="004E1A73"/>
    <w:rsid w:val="004E1DCA"/>
    <w:rsid w:val="004E2235"/>
    <w:rsid w:val="004E3E96"/>
    <w:rsid w:val="004E495D"/>
    <w:rsid w:val="004E5112"/>
    <w:rsid w:val="004E5E66"/>
    <w:rsid w:val="004E6633"/>
    <w:rsid w:val="004E72AE"/>
    <w:rsid w:val="004E7D9A"/>
    <w:rsid w:val="004F2A99"/>
    <w:rsid w:val="004F2CDB"/>
    <w:rsid w:val="004F3D11"/>
    <w:rsid w:val="004F4477"/>
    <w:rsid w:val="004F47B2"/>
    <w:rsid w:val="004F505A"/>
    <w:rsid w:val="004F5CDD"/>
    <w:rsid w:val="004F5F8F"/>
    <w:rsid w:val="004F7149"/>
    <w:rsid w:val="004F72E2"/>
    <w:rsid w:val="00502645"/>
    <w:rsid w:val="00503B4D"/>
    <w:rsid w:val="00504EE9"/>
    <w:rsid w:val="00505BE2"/>
    <w:rsid w:val="00506E3E"/>
    <w:rsid w:val="00511124"/>
    <w:rsid w:val="00514DE0"/>
    <w:rsid w:val="00515355"/>
    <w:rsid w:val="0051608F"/>
    <w:rsid w:val="00516C96"/>
    <w:rsid w:val="00517A4D"/>
    <w:rsid w:val="00522350"/>
    <w:rsid w:val="00522F9F"/>
    <w:rsid w:val="005248A9"/>
    <w:rsid w:val="00525711"/>
    <w:rsid w:val="00525EB4"/>
    <w:rsid w:val="0052607D"/>
    <w:rsid w:val="0052750E"/>
    <w:rsid w:val="005336FB"/>
    <w:rsid w:val="00533DCE"/>
    <w:rsid w:val="00534096"/>
    <w:rsid w:val="00534B6A"/>
    <w:rsid w:val="00534C53"/>
    <w:rsid w:val="00535657"/>
    <w:rsid w:val="00535C11"/>
    <w:rsid w:val="00535C68"/>
    <w:rsid w:val="00535E7E"/>
    <w:rsid w:val="00537E3A"/>
    <w:rsid w:val="00540310"/>
    <w:rsid w:val="0054047E"/>
    <w:rsid w:val="00541899"/>
    <w:rsid w:val="00542C8A"/>
    <w:rsid w:val="005433E0"/>
    <w:rsid w:val="00543835"/>
    <w:rsid w:val="0054442C"/>
    <w:rsid w:val="00544D85"/>
    <w:rsid w:val="00545E1C"/>
    <w:rsid w:val="00546E65"/>
    <w:rsid w:val="00550285"/>
    <w:rsid w:val="00551310"/>
    <w:rsid w:val="005513DC"/>
    <w:rsid w:val="0055146A"/>
    <w:rsid w:val="00551726"/>
    <w:rsid w:val="00551891"/>
    <w:rsid w:val="00552711"/>
    <w:rsid w:val="00552783"/>
    <w:rsid w:val="00552ECD"/>
    <w:rsid w:val="00553168"/>
    <w:rsid w:val="00553D08"/>
    <w:rsid w:val="00554DD2"/>
    <w:rsid w:val="00555FE2"/>
    <w:rsid w:val="00557BFA"/>
    <w:rsid w:val="0056000C"/>
    <w:rsid w:val="00560AFF"/>
    <w:rsid w:val="00560B6A"/>
    <w:rsid w:val="00560EDD"/>
    <w:rsid w:val="0056569D"/>
    <w:rsid w:val="0056600C"/>
    <w:rsid w:val="00566CBC"/>
    <w:rsid w:val="00567164"/>
    <w:rsid w:val="005678BC"/>
    <w:rsid w:val="00567B0B"/>
    <w:rsid w:val="00567CA4"/>
    <w:rsid w:val="00571327"/>
    <w:rsid w:val="005719D7"/>
    <w:rsid w:val="0057391B"/>
    <w:rsid w:val="00575162"/>
    <w:rsid w:val="00577E81"/>
    <w:rsid w:val="00581B54"/>
    <w:rsid w:val="00582204"/>
    <w:rsid w:val="00582404"/>
    <w:rsid w:val="005836F8"/>
    <w:rsid w:val="00584793"/>
    <w:rsid w:val="00590D00"/>
    <w:rsid w:val="005918FA"/>
    <w:rsid w:val="005971AD"/>
    <w:rsid w:val="005A1CF3"/>
    <w:rsid w:val="005A248B"/>
    <w:rsid w:val="005A2853"/>
    <w:rsid w:val="005A3EB9"/>
    <w:rsid w:val="005A5049"/>
    <w:rsid w:val="005A63B4"/>
    <w:rsid w:val="005A6452"/>
    <w:rsid w:val="005A6998"/>
    <w:rsid w:val="005A6E5C"/>
    <w:rsid w:val="005A7FFC"/>
    <w:rsid w:val="005B1D24"/>
    <w:rsid w:val="005B2CD7"/>
    <w:rsid w:val="005B39A5"/>
    <w:rsid w:val="005B4D9B"/>
    <w:rsid w:val="005B5DD6"/>
    <w:rsid w:val="005B6D53"/>
    <w:rsid w:val="005B74E5"/>
    <w:rsid w:val="005B754C"/>
    <w:rsid w:val="005B778A"/>
    <w:rsid w:val="005C06A6"/>
    <w:rsid w:val="005C1767"/>
    <w:rsid w:val="005C2040"/>
    <w:rsid w:val="005C2766"/>
    <w:rsid w:val="005C28F9"/>
    <w:rsid w:val="005C332A"/>
    <w:rsid w:val="005C3AF5"/>
    <w:rsid w:val="005C7113"/>
    <w:rsid w:val="005C76E2"/>
    <w:rsid w:val="005D0385"/>
    <w:rsid w:val="005D3520"/>
    <w:rsid w:val="005D379D"/>
    <w:rsid w:val="005D4090"/>
    <w:rsid w:val="005D52C6"/>
    <w:rsid w:val="005D581C"/>
    <w:rsid w:val="005D6DC0"/>
    <w:rsid w:val="005E1315"/>
    <w:rsid w:val="005E2D65"/>
    <w:rsid w:val="005E3025"/>
    <w:rsid w:val="005E3125"/>
    <w:rsid w:val="005E5A78"/>
    <w:rsid w:val="005E5DE9"/>
    <w:rsid w:val="005E61A8"/>
    <w:rsid w:val="005E67DB"/>
    <w:rsid w:val="005E7142"/>
    <w:rsid w:val="005E7250"/>
    <w:rsid w:val="005E7273"/>
    <w:rsid w:val="005F16BC"/>
    <w:rsid w:val="005F1AD9"/>
    <w:rsid w:val="005F2235"/>
    <w:rsid w:val="005F3EFC"/>
    <w:rsid w:val="005F4670"/>
    <w:rsid w:val="005F516B"/>
    <w:rsid w:val="005F5639"/>
    <w:rsid w:val="005F6419"/>
    <w:rsid w:val="005F7448"/>
    <w:rsid w:val="005F7468"/>
    <w:rsid w:val="00600A15"/>
    <w:rsid w:val="00601E69"/>
    <w:rsid w:val="00603D8B"/>
    <w:rsid w:val="00604016"/>
    <w:rsid w:val="006111AA"/>
    <w:rsid w:val="00611760"/>
    <w:rsid w:val="00611BC0"/>
    <w:rsid w:val="0061551F"/>
    <w:rsid w:val="0061649E"/>
    <w:rsid w:val="00616705"/>
    <w:rsid w:val="00616B3F"/>
    <w:rsid w:val="00617400"/>
    <w:rsid w:val="00620E08"/>
    <w:rsid w:val="00623377"/>
    <w:rsid w:val="0062451A"/>
    <w:rsid w:val="006300EF"/>
    <w:rsid w:val="00630BDB"/>
    <w:rsid w:val="00632527"/>
    <w:rsid w:val="0063518E"/>
    <w:rsid w:val="006354BB"/>
    <w:rsid w:val="00636793"/>
    <w:rsid w:val="0064007A"/>
    <w:rsid w:val="006405F3"/>
    <w:rsid w:val="00640D36"/>
    <w:rsid w:val="00641228"/>
    <w:rsid w:val="00641E6D"/>
    <w:rsid w:val="00641F37"/>
    <w:rsid w:val="006474C7"/>
    <w:rsid w:val="006478ED"/>
    <w:rsid w:val="00652E12"/>
    <w:rsid w:val="006531CE"/>
    <w:rsid w:val="006537FA"/>
    <w:rsid w:val="00653E9C"/>
    <w:rsid w:val="0065424A"/>
    <w:rsid w:val="006558C0"/>
    <w:rsid w:val="00655D76"/>
    <w:rsid w:val="006563A0"/>
    <w:rsid w:val="00656FB1"/>
    <w:rsid w:val="00657597"/>
    <w:rsid w:val="006575E0"/>
    <w:rsid w:val="00657780"/>
    <w:rsid w:val="00657856"/>
    <w:rsid w:val="0066374F"/>
    <w:rsid w:val="00664640"/>
    <w:rsid w:val="006648A9"/>
    <w:rsid w:val="00664950"/>
    <w:rsid w:val="0066578C"/>
    <w:rsid w:val="0066622F"/>
    <w:rsid w:val="00666BC1"/>
    <w:rsid w:val="00671735"/>
    <w:rsid w:val="006760C6"/>
    <w:rsid w:val="00676AEE"/>
    <w:rsid w:val="00676CEA"/>
    <w:rsid w:val="0067723F"/>
    <w:rsid w:val="006775B5"/>
    <w:rsid w:val="006805EA"/>
    <w:rsid w:val="006814CA"/>
    <w:rsid w:val="0068258C"/>
    <w:rsid w:val="006828F9"/>
    <w:rsid w:val="00683220"/>
    <w:rsid w:val="00683F68"/>
    <w:rsid w:val="0068605F"/>
    <w:rsid w:val="00686E92"/>
    <w:rsid w:val="00687FA0"/>
    <w:rsid w:val="00690DCA"/>
    <w:rsid w:val="006912DF"/>
    <w:rsid w:val="00694BB2"/>
    <w:rsid w:val="00694C47"/>
    <w:rsid w:val="00694FE0"/>
    <w:rsid w:val="00695BBD"/>
    <w:rsid w:val="0069683D"/>
    <w:rsid w:val="00696F1F"/>
    <w:rsid w:val="006A4B71"/>
    <w:rsid w:val="006B175B"/>
    <w:rsid w:val="006B666D"/>
    <w:rsid w:val="006B7010"/>
    <w:rsid w:val="006B7A6B"/>
    <w:rsid w:val="006C054D"/>
    <w:rsid w:val="006C26A8"/>
    <w:rsid w:val="006C29DE"/>
    <w:rsid w:val="006C3641"/>
    <w:rsid w:val="006C46BF"/>
    <w:rsid w:val="006C6CE3"/>
    <w:rsid w:val="006C74FD"/>
    <w:rsid w:val="006C7F36"/>
    <w:rsid w:val="006D0309"/>
    <w:rsid w:val="006D17E0"/>
    <w:rsid w:val="006E103D"/>
    <w:rsid w:val="006E1064"/>
    <w:rsid w:val="006E12AD"/>
    <w:rsid w:val="006E1DC2"/>
    <w:rsid w:val="006E43B9"/>
    <w:rsid w:val="006E4E21"/>
    <w:rsid w:val="006E5E34"/>
    <w:rsid w:val="006E6699"/>
    <w:rsid w:val="006F0D19"/>
    <w:rsid w:val="006F0ED6"/>
    <w:rsid w:val="006F13F3"/>
    <w:rsid w:val="006F33AF"/>
    <w:rsid w:val="006F7CEE"/>
    <w:rsid w:val="0070034F"/>
    <w:rsid w:val="00700BDF"/>
    <w:rsid w:val="007018CE"/>
    <w:rsid w:val="00702958"/>
    <w:rsid w:val="00706F48"/>
    <w:rsid w:val="00711197"/>
    <w:rsid w:val="00712419"/>
    <w:rsid w:val="00712A55"/>
    <w:rsid w:val="007145FF"/>
    <w:rsid w:val="00716F6D"/>
    <w:rsid w:val="00717810"/>
    <w:rsid w:val="00717D4D"/>
    <w:rsid w:val="00717E99"/>
    <w:rsid w:val="0072214B"/>
    <w:rsid w:val="0072374A"/>
    <w:rsid w:val="0072461B"/>
    <w:rsid w:val="0072467C"/>
    <w:rsid w:val="00724FF9"/>
    <w:rsid w:val="007257F3"/>
    <w:rsid w:val="007305AB"/>
    <w:rsid w:val="00732167"/>
    <w:rsid w:val="007342D6"/>
    <w:rsid w:val="00735762"/>
    <w:rsid w:val="007406AB"/>
    <w:rsid w:val="00741628"/>
    <w:rsid w:val="007434DD"/>
    <w:rsid w:val="007436F6"/>
    <w:rsid w:val="00744D2C"/>
    <w:rsid w:val="00745359"/>
    <w:rsid w:val="007458CE"/>
    <w:rsid w:val="00746A8E"/>
    <w:rsid w:val="00751515"/>
    <w:rsid w:val="00752B2E"/>
    <w:rsid w:val="00754349"/>
    <w:rsid w:val="00756381"/>
    <w:rsid w:val="007572B4"/>
    <w:rsid w:val="007575A1"/>
    <w:rsid w:val="0075775D"/>
    <w:rsid w:val="00757DAB"/>
    <w:rsid w:val="0076078E"/>
    <w:rsid w:val="00760EAC"/>
    <w:rsid w:val="007626E5"/>
    <w:rsid w:val="0076330C"/>
    <w:rsid w:val="007667EF"/>
    <w:rsid w:val="00766DB2"/>
    <w:rsid w:val="00770743"/>
    <w:rsid w:val="007710BB"/>
    <w:rsid w:val="00771E9A"/>
    <w:rsid w:val="007727AA"/>
    <w:rsid w:val="00774104"/>
    <w:rsid w:val="0077545A"/>
    <w:rsid w:val="00775EFB"/>
    <w:rsid w:val="00776CFE"/>
    <w:rsid w:val="00781E1D"/>
    <w:rsid w:val="00783CA6"/>
    <w:rsid w:val="00785232"/>
    <w:rsid w:val="00786228"/>
    <w:rsid w:val="00790BDA"/>
    <w:rsid w:val="00791F94"/>
    <w:rsid w:val="007934BE"/>
    <w:rsid w:val="00793DC7"/>
    <w:rsid w:val="00793DD7"/>
    <w:rsid w:val="007940E0"/>
    <w:rsid w:val="007A29ED"/>
    <w:rsid w:val="007A2BFC"/>
    <w:rsid w:val="007A43C9"/>
    <w:rsid w:val="007A4457"/>
    <w:rsid w:val="007A7CD0"/>
    <w:rsid w:val="007B03B0"/>
    <w:rsid w:val="007B35FE"/>
    <w:rsid w:val="007B42B4"/>
    <w:rsid w:val="007B5A90"/>
    <w:rsid w:val="007B6938"/>
    <w:rsid w:val="007B6A9C"/>
    <w:rsid w:val="007B7A68"/>
    <w:rsid w:val="007B7B9A"/>
    <w:rsid w:val="007C0F20"/>
    <w:rsid w:val="007C15AE"/>
    <w:rsid w:val="007C1FFA"/>
    <w:rsid w:val="007C22E3"/>
    <w:rsid w:val="007C37BF"/>
    <w:rsid w:val="007C3ED0"/>
    <w:rsid w:val="007C4167"/>
    <w:rsid w:val="007C4233"/>
    <w:rsid w:val="007C45BE"/>
    <w:rsid w:val="007C4C3B"/>
    <w:rsid w:val="007C5A02"/>
    <w:rsid w:val="007C5BCB"/>
    <w:rsid w:val="007D127D"/>
    <w:rsid w:val="007D172A"/>
    <w:rsid w:val="007D30CC"/>
    <w:rsid w:val="007D5495"/>
    <w:rsid w:val="007D69A0"/>
    <w:rsid w:val="007E1EAC"/>
    <w:rsid w:val="007E267B"/>
    <w:rsid w:val="007E2C08"/>
    <w:rsid w:val="007E2CD7"/>
    <w:rsid w:val="007E3EF5"/>
    <w:rsid w:val="007E53E4"/>
    <w:rsid w:val="007E546C"/>
    <w:rsid w:val="007E6FC7"/>
    <w:rsid w:val="007E7152"/>
    <w:rsid w:val="007E71A6"/>
    <w:rsid w:val="007F027B"/>
    <w:rsid w:val="007F0B28"/>
    <w:rsid w:val="007F183F"/>
    <w:rsid w:val="007F38A5"/>
    <w:rsid w:val="007F43B5"/>
    <w:rsid w:val="007F4B4E"/>
    <w:rsid w:val="007F552F"/>
    <w:rsid w:val="007F5622"/>
    <w:rsid w:val="007F7373"/>
    <w:rsid w:val="0080086F"/>
    <w:rsid w:val="00801732"/>
    <w:rsid w:val="0080191E"/>
    <w:rsid w:val="008042AC"/>
    <w:rsid w:val="0080596D"/>
    <w:rsid w:val="00806032"/>
    <w:rsid w:val="00806A76"/>
    <w:rsid w:val="00807042"/>
    <w:rsid w:val="008075A7"/>
    <w:rsid w:val="00807B1E"/>
    <w:rsid w:val="00810135"/>
    <w:rsid w:val="008101DA"/>
    <w:rsid w:val="0081042A"/>
    <w:rsid w:val="008105A7"/>
    <w:rsid w:val="00811A84"/>
    <w:rsid w:val="00811C9D"/>
    <w:rsid w:val="00813FDD"/>
    <w:rsid w:val="00815802"/>
    <w:rsid w:val="00816C80"/>
    <w:rsid w:val="00821311"/>
    <w:rsid w:val="00821635"/>
    <w:rsid w:val="00821F47"/>
    <w:rsid w:val="00823B1D"/>
    <w:rsid w:val="0082491F"/>
    <w:rsid w:val="00825A19"/>
    <w:rsid w:val="008300C8"/>
    <w:rsid w:val="0083063F"/>
    <w:rsid w:val="0083180A"/>
    <w:rsid w:val="0083236C"/>
    <w:rsid w:val="00832FE6"/>
    <w:rsid w:val="008350FB"/>
    <w:rsid w:val="008355A2"/>
    <w:rsid w:val="0084101A"/>
    <w:rsid w:val="008413E3"/>
    <w:rsid w:val="00841806"/>
    <w:rsid w:val="00841BCD"/>
    <w:rsid w:val="00842DAA"/>
    <w:rsid w:val="00845C23"/>
    <w:rsid w:val="0084667A"/>
    <w:rsid w:val="00846F90"/>
    <w:rsid w:val="00847A4C"/>
    <w:rsid w:val="00847B6D"/>
    <w:rsid w:val="00850A1A"/>
    <w:rsid w:val="0085637A"/>
    <w:rsid w:val="008576EA"/>
    <w:rsid w:val="008669F3"/>
    <w:rsid w:val="0086738D"/>
    <w:rsid w:val="008763A0"/>
    <w:rsid w:val="00876BC2"/>
    <w:rsid w:val="008779AB"/>
    <w:rsid w:val="00881F25"/>
    <w:rsid w:val="00881F74"/>
    <w:rsid w:val="008826C1"/>
    <w:rsid w:val="00882FF7"/>
    <w:rsid w:val="00885D9A"/>
    <w:rsid w:val="00886B34"/>
    <w:rsid w:val="008874DF"/>
    <w:rsid w:val="00893633"/>
    <w:rsid w:val="00895DD1"/>
    <w:rsid w:val="00896342"/>
    <w:rsid w:val="00896684"/>
    <w:rsid w:val="008966EC"/>
    <w:rsid w:val="00896D68"/>
    <w:rsid w:val="00896D75"/>
    <w:rsid w:val="008A005F"/>
    <w:rsid w:val="008A00A5"/>
    <w:rsid w:val="008A088F"/>
    <w:rsid w:val="008A32CC"/>
    <w:rsid w:val="008B366A"/>
    <w:rsid w:val="008B5EC5"/>
    <w:rsid w:val="008B6D6D"/>
    <w:rsid w:val="008C321C"/>
    <w:rsid w:val="008C42A3"/>
    <w:rsid w:val="008C49AE"/>
    <w:rsid w:val="008C5B46"/>
    <w:rsid w:val="008C780B"/>
    <w:rsid w:val="008D0B9E"/>
    <w:rsid w:val="008D0DCD"/>
    <w:rsid w:val="008D2F2F"/>
    <w:rsid w:val="008D2F5E"/>
    <w:rsid w:val="008D3BBE"/>
    <w:rsid w:val="008D534E"/>
    <w:rsid w:val="008D772A"/>
    <w:rsid w:val="008D7C54"/>
    <w:rsid w:val="008D7F9A"/>
    <w:rsid w:val="008E379C"/>
    <w:rsid w:val="008E511E"/>
    <w:rsid w:val="008E5C33"/>
    <w:rsid w:val="008E7974"/>
    <w:rsid w:val="008E7CE1"/>
    <w:rsid w:val="008E7F23"/>
    <w:rsid w:val="008F10FD"/>
    <w:rsid w:val="008F350D"/>
    <w:rsid w:val="008F401A"/>
    <w:rsid w:val="0090127F"/>
    <w:rsid w:val="0090250A"/>
    <w:rsid w:val="009042BD"/>
    <w:rsid w:val="0090522A"/>
    <w:rsid w:val="00906A9D"/>
    <w:rsid w:val="009116AB"/>
    <w:rsid w:val="0091321A"/>
    <w:rsid w:val="009140CA"/>
    <w:rsid w:val="0091515A"/>
    <w:rsid w:val="00915B6D"/>
    <w:rsid w:val="00916EDE"/>
    <w:rsid w:val="00917041"/>
    <w:rsid w:val="00917CD0"/>
    <w:rsid w:val="00917E23"/>
    <w:rsid w:val="00920B8B"/>
    <w:rsid w:val="00922CF3"/>
    <w:rsid w:val="009238D0"/>
    <w:rsid w:val="0092457E"/>
    <w:rsid w:val="00925CE9"/>
    <w:rsid w:val="009307B8"/>
    <w:rsid w:val="0093290D"/>
    <w:rsid w:val="00932FA1"/>
    <w:rsid w:val="00934DA7"/>
    <w:rsid w:val="00935258"/>
    <w:rsid w:val="00935441"/>
    <w:rsid w:val="00936519"/>
    <w:rsid w:val="00937C4F"/>
    <w:rsid w:val="0094069C"/>
    <w:rsid w:val="0094168F"/>
    <w:rsid w:val="00941EF2"/>
    <w:rsid w:val="00942193"/>
    <w:rsid w:val="00944C1D"/>
    <w:rsid w:val="0094504A"/>
    <w:rsid w:val="0094528A"/>
    <w:rsid w:val="009456E1"/>
    <w:rsid w:val="00946647"/>
    <w:rsid w:val="00946738"/>
    <w:rsid w:val="009507D7"/>
    <w:rsid w:val="00952DD0"/>
    <w:rsid w:val="00953A41"/>
    <w:rsid w:val="009557A8"/>
    <w:rsid w:val="009616C1"/>
    <w:rsid w:val="00963113"/>
    <w:rsid w:val="0096339A"/>
    <w:rsid w:val="009638D0"/>
    <w:rsid w:val="0096496A"/>
    <w:rsid w:val="00964E18"/>
    <w:rsid w:val="00966203"/>
    <w:rsid w:val="00966550"/>
    <w:rsid w:val="00966F92"/>
    <w:rsid w:val="00971200"/>
    <w:rsid w:val="009715C0"/>
    <w:rsid w:val="00971F52"/>
    <w:rsid w:val="00972870"/>
    <w:rsid w:val="00972F36"/>
    <w:rsid w:val="009753C6"/>
    <w:rsid w:val="00976483"/>
    <w:rsid w:val="00976902"/>
    <w:rsid w:val="00976CEC"/>
    <w:rsid w:val="00977E1D"/>
    <w:rsid w:val="00981C42"/>
    <w:rsid w:val="0098281B"/>
    <w:rsid w:val="00983D99"/>
    <w:rsid w:val="00984089"/>
    <w:rsid w:val="0098500E"/>
    <w:rsid w:val="00985E71"/>
    <w:rsid w:val="0098635A"/>
    <w:rsid w:val="009876A4"/>
    <w:rsid w:val="00987A56"/>
    <w:rsid w:val="009919C1"/>
    <w:rsid w:val="00991CF6"/>
    <w:rsid w:val="0099264A"/>
    <w:rsid w:val="009950A0"/>
    <w:rsid w:val="00996EB8"/>
    <w:rsid w:val="00997AD0"/>
    <w:rsid w:val="009A020D"/>
    <w:rsid w:val="009A0D2A"/>
    <w:rsid w:val="009A589A"/>
    <w:rsid w:val="009A61A0"/>
    <w:rsid w:val="009A666E"/>
    <w:rsid w:val="009A6C05"/>
    <w:rsid w:val="009B2679"/>
    <w:rsid w:val="009B4188"/>
    <w:rsid w:val="009B449E"/>
    <w:rsid w:val="009B49CB"/>
    <w:rsid w:val="009B6F3D"/>
    <w:rsid w:val="009C003D"/>
    <w:rsid w:val="009C1EF6"/>
    <w:rsid w:val="009C30C8"/>
    <w:rsid w:val="009C3FA6"/>
    <w:rsid w:val="009C6E0A"/>
    <w:rsid w:val="009D156D"/>
    <w:rsid w:val="009D1A4A"/>
    <w:rsid w:val="009D33A3"/>
    <w:rsid w:val="009D6403"/>
    <w:rsid w:val="009D6482"/>
    <w:rsid w:val="009D65F0"/>
    <w:rsid w:val="009E1E28"/>
    <w:rsid w:val="009E649B"/>
    <w:rsid w:val="009E67BB"/>
    <w:rsid w:val="009E7700"/>
    <w:rsid w:val="009E7DCD"/>
    <w:rsid w:val="009F03B3"/>
    <w:rsid w:val="009F100E"/>
    <w:rsid w:val="009F20D4"/>
    <w:rsid w:val="009F2374"/>
    <w:rsid w:val="009F28F5"/>
    <w:rsid w:val="009F34CB"/>
    <w:rsid w:val="009F500B"/>
    <w:rsid w:val="009F7150"/>
    <w:rsid w:val="009F7B4B"/>
    <w:rsid w:val="009F7FD4"/>
    <w:rsid w:val="00A00C3A"/>
    <w:rsid w:val="00A0225E"/>
    <w:rsid w:val="00A03CD2"/>
    <w:rsid w:val="00A04630"/>
    <w:rsid w:val="00A04AA9"/>
    <w:rsid w:val="00A05D74"/>
    <w:rsid w:val="00A06575"/>
    <w:rsid w:val="00A069BE"/>
    <w:rsid w:val="00A10664"/>
    <w:rsid w:val="00A10B2E"/>
    <w:rsid w:val="00A11291"/>
    <w:rsid w:val="00A16DF8"/>
    <w:rsid w:val="00A212B3"/>
    <w:rsid w:val="00A2239D"/>
    <w:rsid w:val="00A22B78"/>
    <w:rsid w:val="00A24ECB"/>
    <w:rsid w:val="00A24F22"/>
    <w:rsid w:val="00A25040"/>
    <w:rsid w:val="00A25AE5"/>
    <w:rsid w:val="00A26970"/>
    <w:rsid w:val="00A26D4A"/>
    <w:rsid w:val="00A32FD4"/>
    <w:rsid w:val="00A33603"/>
    <w:rsid w:val="00A33D64"/>
    <w:rsid w:val="00A33F35"/>
    <w:rsid w:val="00A346FF"/>
    <w:rsid w:val="00A34C09"/>
    <w:rsid w:val="00A37002"/>
    <w:rsid w:val="00A40701"/>
    <w:rsid w:val="00A43E55"/>
    <w:rsid w:val="00A45231"/>
    <w:rsid w:val="00A45671"/>
    <w:rsid w:val="00A5159A"/>
    <w:rsid w:val="00A51975"/>
    <w:rsid w:val="00A51C8D"/>
    <w:rsid w:val="00A55F39"/>
    <w:rsid w:val="00A565FC"/>
    <w:rsid w:val="00A57E4E"/>
    <w:rsid w:val="00A60082"/>
    <w:rsid w:val="00A604BD"/>
    <w:rsid w:val="00A60907"/>
    <w:rsid w:val="00A61997"/>
    <w:rsid w:val="00A632B1"/>
    <w:rsid w:val="00A64F5E"/>
    <w:rsid w:val="00A65F10"/>
    <w:rsid w:val="00A660A6"/>
    <w:rsid w:val="00A669BB"/>
    <w:rsid w:val="00A7022C"/>
    <w:rsid w:val="00A704F9"/>
    <w:rsid w:val="00A711E8"/>
    <w:rsid w:val="00A7156B"/>
    <w:rsid w:val="00A731A0"/>
    <w:rsid w:val="00A74AB0"/>
    <w:rsid w:val="00A75537"/>
    <w:rsid w:val="00A761F4"/>
    <w:rsid w:val="00A76739"/>
    <w:rsid w:val="00A76DCD"/>
    <w:rsid w:val="00A777F5"/>
    <w:rsid w:val="00A806FE"/>
    <w:rsid w:val="00A81682"/>
    <w:rsid w:val="00A8235C"/>
    <w:rsid w:val="00A83CBF"/>
    <w:rsid w:val="00A83D84"/>
    <w:rsid w:val="00A840ED"/>
    <w:rsid w:val="00A85B12"/>
    <w:rsid w:val="00A8641F"/>
    <w:rsid w:val="00A867BF"/>
    <w:rsid w:val="00A87896"/>
    <w:rsid w:val="00A923F9"/>
    <w:rsid w:val="00A9263F"/>
    <w:rsid w:val="00A93DAA"/>
    <w:rsid w:val="00A94496"/>
    <w:rsid w:val="00A949FC"/>
    <w:rsid w:val="00A96E13"/>
    <w:rsid w:val="00AA1791"/>
    <w:rsid w:val="00AA190C"/>
    <w:rsid w:val="00AA19AC"/>
    <w:rsid w:val="00AA1B0E"/>
    <w:rsid w:val="00AA2874"/>
    <w:rsid w:val="00AA3426"/>
    <w:rsid w:val="00AB1698"/>
    <w:rsid w:val="00AB256C"/>
    <w:rsid w:val="00AB3CD2"/>
    <w:rsid w:val="00AB3F64"/>
    <w:rsid w:val="00AB4323"/>
    <w:rsid w:val="00AB48CE"/>
    <w:rsid w:val="00AB4C72"/>
    <w:rsid w:val="00AB5B21"/>
    <w:rsid w:val="00AC1A0E"/>
    <w:rsid w:val="00AC3314"/>
    <w:rsid w:val="00AC341C"/>
    <w:rsid w:val="00AC47A1"/>
    <w:rsid w:val="00AC5CA7"/>
    <w:rsid w:val="00AC5D01"/>
    <w:rsid w:val="00AC7A78"/>
    <w:rsid w:val="00AD03AF"/>
    <w:rsid w:val="00AD0C10"/>
    <w:rsid w:val="00AD1504"/>
    <w:rsid w:val="00AD18DF"/>
    <w:rsid w:val="00AD1ACD"/>
    <w:rsid w:val="00AD528D"/>
    <w:rsid w:val="00AD544A"/>
    <w:rsid w:val="00AD5468"/>
    <w:rsid w:val="00AD58AB"/>
    <w:rsid w:val="00AE1BD7"/>
    <w:rsid w:val="00AE1CA8"/>
    <w:rsid w:val="00AE4A3C"/>
    <w:rsid w:val="00AE56AC"/>
    <w:rsid w:val="00AE56B1"/>
    <w:rsid w:val="00AE7937"/>
    <w:rsid w:val="00AE7B35"/>
    <w:rsid w:val="00AF0409"/>
    <w:rsid w:val="00AF05EF"/>
    <w:rsid w:val="00AF082B"/>
    <w:rsid w:val="00AF08D3"/>
    <w:rsid w:val="00AF1D57"/>
    <w:rsid w:val="00AF1F73"/>
    <w:rsid w:val="00AF280C"/>
    <w:rsid w:val="00AF369D"/>
    <w:rsid w:val="00AF3A00"/>
    <w:rsid w:val="00AF48BE"/>
    <w:rsid w:val="00AF5658"/>
    <w:rsid w:val="00AF575B"/>
    <w:rsid w:val="00AF7D1F"/>
    <w:rsid w:val="00B02C4E"/>
    <w:rsid w:val="00B0386A"/>
    <w:rsid w:val="00B05162"/>
    <w:rsid w:val="00B07EC3"/>
    <w:rsid w:val="00B11E39"/>
    <w:rsid w:val="00B13B02"/>
    <w:rsid w:val="00B155DF"/>
    <w:rsid w:val="00B16129"/>
    <w:rsid w:val="00B206F9"/>
    <w:rsid w:val="00B207FB"/>
    <w:rsid w:val="00B2106A"/>
    <w:rsid w:val="00B21469"/>
    <w:rsid w:val="00B222B6"/>
    <w:rsid w:val="00B24A72"/>
    <w:rsid w:val="00B24EDD"/>
    <w:rsid w:val="00B25C8E"/>
    <w:rsid w:val="00B26217"/>
    <w:rsid w:val="00B2692A"/>
    <w:rsid w:val="00B27066"/>
    <w:rsid w:val="00B27E0E"/>
    <w:rsid w:val="00B344D7"/>
    <w:rsid w:val="00B36637"/>
    <w:rsid w:val="00B36E13"/>
    <w:rsid w:val="00B37EBF"/>
    <w:rsid w:val="00B4063F"/>
    <w:rsid w:val="00B407FA"/>
    <w:rsid w:val="00B40E2A"/>
    <w:rsid w:val="00B4169A"/>
    <w:rsid w:val="00B41F4A"/>
    <w:rsid w:val="00B42191"/>
    <w:rsid w:val="00B43ADA"/>
    <w:rsid w:val="00B4564C"/>
    <w:rsid w:val="00B456F9"/>
    <w:rsid w:val="00B46D22"/>
    <w:rsid w:val="00B5207B"/>
    <w:rsid w:val="00B52907"/>
    <w:rsid w:val="00B53162"/>
    <w:rsid w:val="00B541BC"/>
    <w:rsid w:val="00B56DF8"/>
    <w:rsid w:val="00B64045"/>
    <w:rsid w:val="00B64816"/>
    <w:rsid w:val="00B65DA7"/>
    <w:rsid w:val="00B67308"/>
    <w:rsid w:val="00B70AD9"/>
    <w:rsid w:val="00B7128A"/>
    <w:rsid w:val="00B719CB"/>
    <w:rsid w:val="00B72A75"/>
    <w:rsid w:val="00B73862"/>
    <w:rsid w:val="00B7447E"/>
    <w:rsid w:val="00B75A29"/>
    <w:rsid w:val="00B77125"/>
    <w:rsid w:val="00B77A0A"/>
    <w:rsid w:val="00B77AB5"/>
    <w:rsid w:val="00B80668"/>
    <w:rsid w:val="00B807F1"/>
    <w:rsid w:val="00B825A7"/>
    <w:rsid w:val="00B82A1B"/>
    <w:rsid w:val="00B83B32"/>
    <w:rsid w:val="00B8531A"/>
    <w:rsid w:val="00B85BA9"/>
    <w:rsid w:val="00B86369"/>
    <w:rsid w:val="00B8746C"/>
    <w:rsid w:val="00B87853"/>
    <w:rsid w:val="00B90210"/>
    <w:rsid w:val="00B92AE9"/>
    <w:rsid w:val="00B9386D"/>
    <w:rsid w:val="00B93A07"/>
    <w:rsid w:val="00B9447B"/>
    <w:rsid w:val="00B944C2"/>
    <w:rsid w:val="00B94E47"/>
    <w:rsid w:val="00B95AA2"/>
    <w:rsid w:val="00BA1C0B"/>
    <w:rsid w:val="00BA1E66"/>
    <w:rsid w:val="00BA409F"/>
    <w:rsid w:val="00BA418C"/>
    <w:rsid w:val="00BA44DE"/>
    <w:rsid w:val="00BA49F0"/>
    <w:rsid w:val="00BA5015"/>
    <w:rsid w:val="00BA517D"/>
    <w:rsid w:val="00BA5303"/>
    <w:rsid w:val="00BA6900"/>
    <w:rsid w:val="00BA69AB"/>
    <w:rsid w:val="00BA6E48"/>
    <w:rsid w:val="00BA724E"/>
    <w:rsid w:val="00BB005E"/>
    <w:rsid w:val="00BB03EC"/>
    <w:rsid w:val="00BB3798"/>
    <w:rsid w:val="00BC0222"/>
    <w:rsid w:val="00BC2D33"/>
    <w:rsid w:val="00BC5CB0"/>
    <w:rsid w:val="00BC63A3"/>
    <w:rsid w:val="00BC72F7"/>
    <w:rsid w:val="00BD4DB6"/>
    <w:rsid w:val="00BD4E71"/>
    <w:rsid w:val="00BD5401"/>
    <w:rsid w:val="00BE32D6"/>
    <w:rsid w:val="00BE3DD1"/>
    <w:rsid w:val="00BF07E3"/>
    <w:rsid w:val="00BF097E"/>
    <w:rsid w:val="00BF2218"/>
    <w:rsid w:val="00BF221F"/>
    <w:rsid w:val="00BF2433"/>
    <w:rsid w:val="00BF2AE6"/>
    <w:rsid w:val="00BF316F"/>
    <w:rsid w:val="00BF5A1C"/>
    <w:rsid w:val="00C022C8"/>
    <w:rsid w:val="00C02ABE"/>
    <w:rsid w:val="00C03477"/>
    <w:rsid w:val="00C04F49"/>
    <w:rsid w:val="00C0589B"/>
    <w:rsid w:val="00C07680"/>
    <w:rsid w:val="00C0784D"/>
    <w:rsid w:val="00C10911"/>
    <w:rsid w:val="00C11EDC"/>
    <w:rsid w:val="00C12448"/>
    <w:rsid w:val="00C127E7"/>
    <w:rsid w:val="00C12C8A"/>
    <w:rsid w:val="00C149AD"/>
    <w:rsid w:val="00C17337"/>
    <w:rsid w:val="00C224D9"/>
    <w:rsid w:val="00C226FA"/>
    <w:rsid w:val="00C23775"/>
    <w:rsid w:val="00C23ECB"/>
    <w:rsid w:val="00C24768"/>
    <w:rsid w:val="00C254A0"/>
    <w:rsid w:val="00C264C8"/>
    <w:rsid w:val="00C315E7"/>
    <w:rsid w:val="00C317EE"/>
    <w:rsid w:val="00C31ECB"/>
    <w:rsid w:val="00C32166"/>
    <w:rsid w:val="00C347F1"/>
    <w:rsid w:val="00C35C23"/>
    <w:rsid w:val="00C35DDB"/>
    <w:rsid w:val="00C374DF"/>
    <w:rsid w:val="00C379EF"/>
    <w:rsid w:val="00C41E76"/>
    <w:rsid w:val="00C429FD"/>
    <w:rsid w:val="00C451FC"/>
    <w:rsid w:val="00C45AC4"/>
    <w:rsid w:val="00C54D00"/>
    <w:rsid w:val="00C6430A"/>
    <w:rsid w:val="00C661AD"/>
    <w:rsid w:val="00C702FC"/>
    <w:rsid w:val="00C7482C"/>
    <w:rsid w:val="00C7525C"/>
    <w:rsid w:val="00C76327"/>
    <w:rsid w:val="00C81C70"/>
    <w:rsid w:val="00C825DC"/>
    <w:rsid w:val="00C83683"/>
    <w:rsid w:val="00C841C4"/>
    <w:rsid w:val="00C86557"/>
    <w:rsid w:val="00C87B45"/>
    <w:rsid w:val="00C90D3B"/>
    <w:rsid w:val="00C91B8B"/>
    <w:rsid w:val="00C94120"/>
    <w:rsid w:val="00C94811"/>
    <w:rsid w:val="00C97574"/>
    <w:rsid w:val="00CA0676"/>
    <w:rsid w:val="00CA2CCE"/>
    <w:rsid w:val="00CA49BA"/>
    <w:rsid w:val="00CA6032"/>
    <w:rsid w:val="00CB387E"/>
    <w:rsid w:val="00CB4CB2"/>
    <w:rsid w:val="00CB6BE5"/>
    <w:rsid w:val="00CB6EBC"/>
    <w:rsid w:val="00CB7370"/>
    <w:rsid w:val="00CC062E"/>
    <w:rsid w:val="00CC2067"/>
    <w:rsid w:val="00CC4696"/>
    <w:rsid w:val="00CC4EF1"/>
    <w:rsid w:val="00CC4FF9"/>
    <w:rsid w:val="00CC6145"/>
    <w:rsid w:val="00CC644A"/>
    <w:rsid w:val="00CC7A62"/>
    <w:rsid w:val="00CD0FD1"/>
    <w:rsid w:val="00CD11CD"/>
    <w:rsid w:val="00CD17F4"/>
    <w:rsid w:val="00CD4856"/>
    <w:rsid w:val="00CD5AA3"/>
    <w:rsid w:val="00CD6170"/>
    <w:rsid w:val="00CD7492"/>
    <w:rsid w:val="00CD7C9D"/>
    <w:rsid w:val="00CE048A"/>
    <w:rsid w:val="00CE291C"/>
    <w:rsid w:val="00CE2D27"/>
    <w:rsid w:val="00CE3A6B"/>
    <w:rsid w:val="00CE3B50"/>
    <w:rsid w:val="00CE4194"/>
    <w:rsid w:val="00CE5B1C"/>
    <w:rsid w:val="00CE5B8B"/>
    <w:rsid w:val="00CE5D8D"/>
    <w:rsid w:val="00CF0D6C"/>
    <w:rsid w:val="00CF257A"/>
    <w:rsid w:val="00CF4093"/>
    <w:rsid w:val="00CF6CD0"/>
    <w:rsid w:val="00D00211"/>
    <w:rsid w:val="00D01925"/>
    <w:rsid w:val="00D04E91"/>
    <w:rsid w:val="00D06309"/>
    <w:rsid w:val="00D067C5"/>
    <w:rsid w:val="00D06BDF"/>
    <w:rsid w:val="00D07A7F"/>
    <w:rsid w:val="00D11BF8"/>
    <w:rsid w:val="00D13D5D"/>
    <w:rsid w:val="00D146C5"/>
    <w:rsid w:val="00D149CD"/>
    <w:rsid w:val="00D14B1D"/>
    <w:rsid w:val="00D20968"/>
    <w:rsid w:val="00D20F5B"/>
    <w:rsid w:val="00D22690"/>
    <w:rsid w:val="00D22C27"/>
    <w:rsid w:val="00D26818"/>
    <w:rsid w:val="00D268A7"/>
    <w:rsid w:val="00D26C05"/>
    <w:rsid w:val="00D27872"/>
    <w:rsid w:val="00D30325"/>
    <w:rsid w:val="00D32AC9"/>
    <w:rsid w:val="00D34741"/>
    <w:rsid w:val="00D351EA"/>
    <w:rsid w:val="00D40454"/>
    <w:rsid w:val="00D407CB"/>
    <w:rsid w:val="00D40AC2"/>
    <w:rsid w:val="00D42BC7"/>
    <w:rsid w:val="00D43403"/>
    <w:rsid w:val="00D4489A"/>
    <w:rsid w:val="00D454A1"/>
    <w:rsid w:val="00D47D7A"/>
    <w:rsid w:val="00D50CDC"/>
    <w:rsid w:val="00D53F4A"/>
    <w:rsid w:val="00D5770D"/>
    <w:rsid w:val="00D6148D"/>
    <w:rsid w:val="00D61803"/>
    <w:rsid w:val="00D61D0C"/>
    <w:rsid w:val="00D62E71"/>
    <w:rsid w:val="00D634FE"/>
    <w:rsid w:val="00D652BC"/>
    <w:rsid w:val="00D67410"/>
    <w:rsid w:val="00D674C0"/>
    <w:rsid w:val="00D67EE3"/>
    <w:rsid w:val="00D7184F"/>
    <w:rsid w:val="00D71E08"/>
    <w:rsid w:val="00D72D5F"/>
    <w:rsid w:val="00D72FB9"/>
    <w:rsid w:val="00D73943"/>
    <w:rsid w:val="00D73CEB"/>
    <w:rsid w:val="00D740CA"/>
    <w:rsid w:val="00D76901"/>
    <w:rsid w:val="00D76C2C"/>
    <w:rsid w:val="00D80A37"/>
    <w:rsid w:val="00D84041"/>
    <w:rsid w:val="00D85728"/>
    <w:rsid w:val="00D9117A"/>
    <w:rsid w:val="00D91611"/>
    <w:rsid w:val="00D95FFB"/>
    <w:rsid w:val="00D96D90"/>
    <w:rsid w:val="00D97634"/>
    <w:rsid w:val="00D97F4E"/>
    <w:rsid w:val="00DA1AE3"/>
    <w:rsid w:val="00DA2EF9"/>
    <w:rsid w:val="00DA338D"/>
    <w:rsid w:val="00DA53E9"/>
    <w:rsid w:val="00DA66B0"/>
    <w:rsid w:val="00DB046F"/>
    <w:rsid w:val="00DB271D"/>
    <w:rsid w:val="00DB36F7"/>
    <w:rsid w:val="00DB3966"/>
    <w:rsid w:val="00DB573B"/>
    <w:rsid w:val="00DB5810"/>
    <w:rsid w:val="00DB6783"/>
    <w:rsid w:val="00DB6C76"/>
    <w:rsid w:val="00DC08FE"/>
    <w:rsid w:val="00DC391E"/>
    <w:rsid w:val="00DC3DB0"/>
    <w:rsid w:val="00DC4237"/>
    <w:rsid w:val="00DC490C"/>
    <w:rsid w:val="00DC54E2"/>
    <w:rsid w:val="00DD022D"/>
    <w:rsid w:val="00DD13CA"/>
    <w:rsid w:val="00DD1758"/>
    <w:rsid w:val="00DD1DDE"/>
    <w:rsid w:val="00DD1F42"/>
    <w:rsid w:val="00DD25AE"/>
    <w:rsid w:val="00DD2E07"/>
    <w:rsid w:val="00DD555A"/>
    <w:rsid w:val="00DD5934"/>
    <w:rsid w:val="00DD6987"/>
    <w:rsid w:val="00DD6B56"/>
    <w:rsid w:val="00DD7E67"/>
    <w:rsid w:val="00DE0F10"/>
    <w:rsid w:val="00DE4BF1"/>
    <w:rsid w:val="00DE52E9"/>
    <w:rsid w:val="00DE6CAF"/>
    <w:rsid w:val="00DF08E1"/>
    <w:rsid w:val="00DF2997"/>
    <w:rsid w:val="00DF304E"/>
    <w:rsid w:val="00DF34FA"/>
    <w:rsid w:val="00DF357C"/>
    <w:rsid w:val="00DF4FC4"/>
    <w:rsid w:val="00E04205"/>
    <w:rsid w:val="00E05059"/>
    <w:rsid w:val="00E05CFE"/>
    <w:rsid w:val="00E05E60"/>
    <w:rsid w:val="00E0636D"/>
    <w:rsid w:val="00E06D10"/>
    <w:rsid w:val="00E10C51"/>
    <w:rsid w:val="00E134F7"/>
    <w:rsid w:val="00E1359B"/>
    <w:rsid w:val="00E1647F"/>
    <w:rsid w:val="00E16CDA"/>
    <w:rsid w:val="00E200A2"/>
    <w:rsid w:val="00E20A69"/>
    <w:rsid w:val="00E20FA4"/>
    <w:rsid w:val="00E21D8E"/>
    <w:rsid w:val="00E22C3D"/>
    <w:rsid w:val="00E250D4"/>
    <w:rsid w:val="00E25310"/>
    <w:rsid w:val="00E264A7"/>
    <w:rsid w:val="00E26BB6"/>
    <w:rsid w:val="00E3018A"/>
    <w:rsid w:val="00E315B4"/>
    <w:rsid w:val="00E31E4D"/>
    <w:rsid w:val="00E35576"/>
    <w:rsid w:val="00E36C46"/>
    <w:rsid w:val="00E37333"/>
    <w:rsid w:val="00E42733"/>
    <w:rsid w:val="00E42E56"/>
    <w:rsid w:val="00E51AEA"/>
    <w:rsid w:val="00E51BCC"/>
    <w:rsid w:val="00E52076"/>
    <w:rsid w:val="00E53A92"/>
    <w:rsid w:val="00E547E7"/>
    <w:rsid w:val="00E557FF"/>
    <w:rsid w:val="00E5790C"/>
    <w:rsid w:val="00E61465"/>
    <w:rsid w:val="00E6539E"/>
    <w:rsid w:val="00E66DE3"/>
    <w:rsid w:val="00E67348"/>
    <w:rsid w:val="00E67CEF"/>
    <w:rsid w:val="00E700B5"/>
    <w:rsid w:val="00E70B5F"/>
    <w:rsid w:val="00E71D3C"/>
    <w:rsid w:val="00E72064"/>
    <w:rsid w:val="00E72A08"/>
    <w:rsid w:val="00E73072"/>
    <w:rsid w:val="00E735E2"/>
    <w:rsid w:val="00E73EF0"/>
    <w:rsid w:val="00E77DC0"/>
    <w:rsid w:val="00E805C6"/>
    <w:rsid w:val="00E806AE"/>
    <w:rsid w:val="00E8147F"/>
    <w:rsid w:val="00E82A54"/>
    <w:rsid w:val="00E82E15"/>
    <w:rsid w:val="00E841AA"/>
    <w:rsid w:val="00E8462E"/>
    <w:rsid w:val="00E8563B"/>
    <w:rsid w:val="00E86D41"/>
    <w:rsid w:val="00E92078"/>
    <w:rsid w:val="00E92920"/>
    <w:rsid w:val="00E9495B"/>
    <w:rsid w:val="00E94DDB"/>
    <w:rsid w:val="00E95571"/>
    <w:rsid w:val="00E959B8"/>
    <w:rsid w:val="00E96865"/>
    <w:rsid w:val="00E96E78"/>
    <w:rsid w:val="00E97295"/>
    <w:rsid w:val="00EA00BE"/>
    <w:rsid w:val="00EA0826"/>
    <w:rsid w:val="00EA11A4"/>
    <w:rsid w:val="00EA17AC"/>
    <w:rsid w:val="00EA2F3B"/>
    <w:rsid w:val="00EA4CC9"/>
    <w:rsid w:val="00EA5FA7"/>
    <w:rsid w:val="00EA6020"/>
    <w:rsid w:val="00EA6645"/>
    <w:rsid w:val="00EA71FD"/>
    <w:rsid w:val="00EB0FA8"/>
    <w:rsid w:val="00EB2C1E"/>
    <w:rsid w:val="00EB6210"/>
    <w:rsid w:val="00EB6C6A"/>
    <w:rsid w:val="00EB7489"/>
    <w:rsid w:val="00EB7677"/>
    <w:rsid w:val="00EB796F"/>
    <w:rsid w:val="00EB7F6B"/>
    <w:rsid w:val="00EC008C"/>
    <w:rsid w:val="00EC0A70"/>
    <w:rsid w:val="00EC2103"/>
    <w:rsid w:val="00EC2EAD"/>
    <w:rsid w:val="00EC3337"/>
    <w:rsid w:val="00EC3E7B"/>
    <w:rsid w:val="00EC4AA4"/>
    <w:rsid w:val="00EC6F89"/>
    <w:rsid w:val="00EC775F"/>
    <w:rsid w:val="00EC7B97"/>
    <w:rsid w:val="00EC7BC3"/>
    <w:rsid w:val="00ED0D3A"/>
    <w:rsid w:val="00ED1DF8"/>
    <w:rsid w:val="00ED2ACA"/>
    <w:rsid w:val="00ED3E1F"/>
    <w:rsid w:val="00ED7600"/>
    <w:rsid w:val="00EE22BF"/>
    <w:rsid w:val="00EE274C"/>
    <w:rsid w:val="00EE34E5"/>
    <w:rsid w:val="00EE6174"/>
    <w:rsid w:val="00EE6773"/>
    <w:rsid w:val="00EE71E8"/>
    <w:rsid w:val="00EF2A70"/>
    <w:rsid w:val="00EF317B"/>
    <w:rsid w:val="00EF5D94"/>
    <w:rsid w:val="00EF5FF8"/>
    <w:rsid w:val="00F00129"/>
    <w:rsid w:val="00F01095"/>
    <w:rsid w:val="00F01541"/>
    <w:rsid w:val="00F01BE7"/>
    <w:rsid w:val="00F0218F"/>
    <w:rsid w:val="00F02D8D"/>
    <w:rsid w:val="00F031EA"/>
    <w:rsid w:val="00F07B50"/>
    <w:rsid w:val="00F11151"/>
    <w:rsid w:val="00F11827"/>
    <w:rsid w:val="00F1362C"/>
    <w:rsid w:val="00F17100"/>
    <w:rsid w:val="00F17326"/>
    <w:rsid w:val="00F2197E"/>
    <w:rsid w:val="00F21B1B"/>
    <w:rsid w:val="00F21B38"/>
    <w:rsid w:val="00F229C1"/>
    <w:rsid w:val="00F244DB"/>
    <w:rsid w:val="00F26493"/>
    <w:rsid w:val="00F26AE1"/>
    <w:rsid w:val="00F26F7B"/>
    <w:rsid w:val="00F2737E"/>
    <w:rsid w:val="00F27BC7"/>
    <w:rsid w:val="00F31514"/>
    <w:rsid w:val="00F31CC7"/>
    <w:rsid w:val="00F338F2"/>
    <w:rsid w:val="00F33976"/>
    <w:rsid w:val="00F3439D"/>
    <w:rsid w:val="00F34B6F"/>
    <w:rsid w:val="00F35E7C"/>
    <w:rsid w:val="00F4518B"/>
    <w:rsid w:val="00F45598"/>
    <w:rsid w:val="00F46CEF"/>
    <w:rsid w:val="00F46E5F"/>
    <w:rsid w:val="00F50D10"/>
    <w:rsid w:val="00F51E50"/>
    <w:rsid w:val="00F524DB"/>
    <w:rsid w:val="00F53434"/>
    <w:rsid w:val="00F6026C"/>
    <w:rsid w:val="00F63693"/>
    <w:rsid w:val="00F65742"/>
    <w:rsid w:val="00F66785"/>
    <w:rsid w:val="00F678C2"/>
    <w:rsid w:val="00F73270"/>
    <w:rsid w:val="00F73D9D"/>
    <w:rsid w:val="00F74728"/>
    <w:rsid w:val="00F75AE9"/>
    <w:rsid w:val="00F76544"/>
    <w:rsid w:val="00F7672C"/>
    <w:rsid w:val="00F76908"/>
    <w:rsid w:val="00F80091"/>
    <w:rsid w:val="00F8190B"/>
    <w:rsid w:val="00F82026"/>
    <w:rsid w:val="00F824F5"/>
    <w:rsid w:val="00F8393A"/>
    <w:rsid w:val="00F83BB1"/>
    <w:rsid w:val="00F854EC"/>
    <w:rsid w:val="00F90FB0"/>
    <w:rsid w:val="00F919F4"/>
    <w:rsid w:val="00F95E2C"/>
    <w:rsid w:val="00F96A4E"/>
    <w:rsid w:val="00FA0AF3"/>
    <w:rsid w:val="00FA14C2"/>
    <w:rsid w:val="00FA176E"/>
    <w:rsid w:val="00FA2393"/>
    <w:rsid w:val="00FA2B4E"/>
    <w:rsid w:val="00FA31F3"/>
    <w:rsid w:val="00FA3FA5"/>
    <w:rsid w:val="00FA5EF0"/>
    <w:rsid w:val="00FA5FD9"/>
    <w:rsid w:val="00FA6BDE"/>
    <w:rsid w:val="00FA7AE9"/>
    <w:rsid w:val="00FB155F"/>
    <w:rsid w:val="00FB2F72"/>
    <w:rsid w:val="00FB2FC7"/>
    <w:rsid w:val="00FB3164"/>
    <w:rsid w:val="00FB3B7F"/>
    <w:rsid w:val="00FB45CA"/>
    <w:rsid w:val="00FB48A2"/>
    <w:rsid w:val="00FB4A08"/>
    <w:rsid w:val="00FB6DB2"/>
    <w:rsid w:val="00FC0774"/>
    <w:rsid w:val="00FC0880"/>
    <w:rsid w:val="00FC0FB4"/>
    <w:rsid w:val="00FC29B9"/>
    <w:rsid w:val="00FC6F42"/>
    <w:rsid w:val="00FC6FD3"/>
    <w:rsid w:val="00FD0FC5"/>
    <w:rsid w:val="00FD1795"/>
    <w:rsid w:val="00FD2C08"/>
    <w:rsid w:val="00FD69FE"/>
    <w:rsid w:val="00FE08EA"/>
    <w:rsid w:val="00FE1017"/>
    <w:rsid w:val="00FE2D05"/>
    <w:rsid w:val="00FE3CDE"/>
    <w:rsid w:val="00FE5EDD"/>
    <w:rsid w:val="00FE6FD6"/>
    <w:rsid w:val="00FE7841"/>
    <w:rsid w:val="00FF1D2F"/>
    <w:rsid w:val="00FF236D"/>
    <w:rsid w:val="00FF4385"/>
    <w:rsid w:val="00FF5077"/>
    <w:rsid w:val="00FF5E60"/>
    <w:rsid w:val="00FF6E56"/>
    <w:rsid w:val="00FF760C"/>
    <w:rsid w:val="01E7F20E"/>
    <w:rsid w:val="02242A42"/>
    <w:rsid w:val="0289AA12"/>
    <w:rsid w:val="038A661F"/>
    <w:rsid w:val="0436EFAC"/>
    <w:rsid w:val="04561467"/>
    <w:rsid w:val="0532BD0D"/>
    <w:rsid w:val="05E86C09"/>
    <w:rsid w:val="060F87A4"/>
    <w:rsid w:val="062A6A01"/>
    <w:rsid w:val="06ABC849"/>
    <w:rsid w:val="06EE56C0"/>
    <w:rsid w:val="0A1205B7"/>
    <w:rsid w:val="0A39D71A"/>
    <w:rsid w:val="0AEA149E"/>
    <w:rsid w:val="0B140041"/>
    <w:rsid w:val="0B2EB085"/>
    <w:rsid w:val="0C7736E1"/>
    <w:rsid w:val="0D307E1C"/>
    <w:rsid w:val="0D5080BA"/>
    <w:rsid w:val="0D996920"/>
    <w:rsid w:val="0D99C20A"/>
    <w:rsid w:val="0E0C278C"/>
    <w:rsid w:val="0E3FB5C6"/>
    <w:rsid w:val="0E5ADF2A"/>
    <w:rsid w:val="0E9A7565"/>
    <w:rsid w:val="0EC61CC7"/>
    <w:rsid w:val="0EE576DA"/>
    <w:rsid w:val="0F3D30A4"/>
    <w:rsid w:val="0F6808E2"/>
    <w:rsid w:val="1020674A"/>
    <w:rsid w:val="10474342"/>
    <w:rsid w:val="10532EFC"/>
    <w:rsid w:val="10681EDE"/>
    <w:rsid w:val="1181E354"/>
    <w:rsid w:val="1263DE21"/>
    <w:rsid w:val="13E2636A"/>
    <w:rsid w:val="14C8F980"/>
    <w:rsid w:val="14CA1CDD"/>
    <w:rsid w:val="157372CD"/>
    <w:rsid w:val="1578F474"/>
    <w:rsid w:val="15AB8C34"/>
    <w:rsid w:val="15ECFDC9"/>
    <w:rsid w:val="17982CE9"/>
    <w:rsid w:val="179F1B0A"/>
    <w:rsid w:val="19622766"/>
    <w:rsid w:val="196EF8E1"/>
    <w:rsid w:val="19F0753F"/>
    <w:rsid w:val="19F23EDE"/>
    <w:rsid w:val="1A8C7C67"/>
    <w:rsid w:val="1B099E58"/>
    <w:rsid w:val="1B8674AC"/>
    <w:rsid w:val="1C92BCF1"/>
    <w:rsid w:val="1D613FCB"/>
    <w:rsid w:val="1DBAB53A"/>
    <w:rsid w:val="1E79BDB6"/>
    <w:rsid w:val="2070BBDF"/>
    <w:rsid w:val="208D0A6F"/>
    <w:rsid w:val="211B877F"/>
    <w:rsid w:val="21FAC145"/>
    <w:rsid w:val="221A95B8"/>
    <w:rsid w:val="229B65AA"/>
    <w:rsid w:val="22F577E8"/>
    <w:rsid w:val="22FF0826"/>
    <w:rsid w:val="2350CC44"/>
    <w:rsid w:val="23BAFBC6"/>
    <w:rsid w:val="23F44FDB"/>
    <w:rsid w:val="24454381"/>
    <w:rsid w:val="247A7EDB"/>
    <w:rsid w:val="24A9A65D"/>
    <w:rsid w:val="24B7DF29"/>
    <w:rsid w:val="24F1F650"/>
    <w:rsid w:val="263CB1EF"/>
    <w:rsid w:val="27894514"/>
    <w:rsid w:val="27BD147B"/>
    <w:rsid w:val="27F58B89"/>
    <w:rsid w:val="281F420F"/>
    <w:rsid w:val="287819B6"/>
    <w:rsid w:val="29F024B6"/>
    <w:rsid w:val="2B18E7E1"/>
    <w:rsid w:val="2B2E2027"/>
    <w:rsid w:val="2B6F59D1"/>
    <w:rsid w:val="2BA4125C"/>
    <w:rsid w:val="2C0233E9"/>
    <w:rsid w:val="2C839415"/>
    <w:rsid w:val="2D2C7739"/>
    <w:rsid w:val="2EAA6D7C"/>
    <w:rsid w:val="2EE75B3A"/>
    <w:rsid w:val="2EEDBC4D"/>
    <w:rsid w:val="2EFBF567"/>
    <w:rsid w:val="2F2BED82"/>
    <w:rsid w:val="2F67005D"/>
    <w:rsid w:val="300E34D6"/>
    <w:rsid w:val="317E23AA"/>
    <w:rsid w:val="32743171"/>
    <w:rsid w:val="342F53FC"/>
    <w:rsid w:val="34A6A1CA"/>
    <w:rsid w:val="34C3F82B"/>
    <w:rsid w:val="34CADDE0"/>
    <w:rsid w:val="34FB89BF"/>
    <w:rsid w:val="355452B1"/>
    <w:rsid w:val="35CD462C"/>
    <w:rsid w:val="35D32DE8"/>
    <w:rsid w:val="35D35F27"/>
    <w:rsid w:val="35D3C18E"/>
    <w:rsid w:val="35DC5912"/>
    <w:rsid w:val="35FBDD0D"/>
    <w:rsid w:val="36755CA3"/>
    <w:rsid w:val="36F367AF"/>
    <w:rsid w:val="37323DC6"/>
    <w:rsid w:val="37496366"/>
    <w:rsid w:val="37CE8FC6"/>
    <w:rsid w:val="37D1EF83"/>
    <w:rsid w:val="384C79FC"/>
    <w:rsid w:val="38B9A76B"/>
    <w:rsid w:val="39F1A6B3"/>
    <w:rsid w:val="3A0C56AE"/>
    <w:rsid w:val="3A43BC27"/>
    <w:rsid w:val="3A6DD5E0"/>
    <w:rsid w:val="3B0BF12B"/>
    <w:rsid w:val="3B34E271"/>
    <w:rsid w:val="3BAA70FD"/>
    <w:rsid w:val="3C50AA0A"/>
    <w:rsid w:val="3DA98EBC"/>
    <w:rsid w:val="3E5FC922"/>
    <w:rsid w:val="3E7BBBE7"/>
    <w:rsid w:val="3EAC94E3"/>
    <w:rsid w:val="3F936C90"/>
    <w:rsid w:val="3FF141F7"/>
    <w:rsid w:val="406F1907"/>
    <w:rsid w:val="40879746"/>
    <w:rsid w:val="40F34CF5"/>
    <w:rsid w:val="411A7BD7"/>
    <w:rsid w:val="42687737"/>
    <w:rsid w:val="4329DD49"/>
    <w:rsid w:val="4348E557"/>
    <w:rsid w:val="438E4502"/>
    <w:rsid w:val="447E1DFC"/>
    <w:rsid w:val="448F864C"/>
    <w:rsid w:val="44CB8D5B"/>
    <w:rsid w:val="44DC8A7F"/>
    <w:rsid w:val="45026766"/>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9A3A656"/>
    <w:rsid w:val="5A4448DC"/>
    <w:rsid w:val="5A4A5E75"/>
    <w:rsid w:val="5AEC36E7"/>
    <w:rsid w:val="5B0193DC"/>
    <w:rsid w:val="5B87139E"/>
    <w:rsid w:val="5B967924"/>
    <w:rsid w:val="5BB34FFB"/>
    <w:rsid w:val="5C8BB5CF"/>
    <w:rsid w:val="5C9C76C5"/>
    <w:rsid w:val="5D65B76D"/>
    <w:rsid w:val="5DC22F6F"/>
    <w:rsid w:val="5E9B9F42"/>
    <w:rsid w:val="5F9A4EB0"/>
    <w:rsid w:val="601328F5"/>
    <w:rsid w:val="60F4F215"/>
    <w:rsid w:val="617C5B28"/>
    <w:rsid w:val="61A919A5"/>
    <w:rsid w:val="61C62410"/>
    <w:rsid w:val="61C821B3"/>
    <w:rsid w:val="62ABE723"/>
    <w:rsid w:val="63563104"/>
    <w:rsid w:val="645B2ECE"/>
    <w:rsid w:val="65430209"/>
    <w:rsid w:val="66CF2CC0"/>
    <w:rsid w:val="66EBDB5C"/>
    <w:rsid w:val="66F8B508"/>
    <w:rsid w:val="67105891"/>
    <w:rsid w:val="679ABD16"/>
    <w:rsid w:val="6803535D"/>
    <w:rsid w:val="6898BEE1"/>
    <w:rsid w:val="69C57288"/>
    <w:rsid w:val="6A74ABF3"/>
    <w:rsid w:val="6B3E47D1"/>
    <w:rsid w:val="6B50B198"/>
    <w:rsid w:val="6B79A0FD"/>
    <w:rsid w:val="6BC890A0"/>
    <w:rsid w:val="6C1A05C4"/>
    <w:rsid w:val="6C8747C2"/>
    <w:rsid w:val="6C89269B"/>
    <w:rsid w:val="6CE30ADE"/>
    <w:rsid w:val="6DBB0124"/>
    <w:rsid w:val="6EDFF91C"/>
    <w:rsid w:val="6EF24297"/>
    <w:rsid w:val="6F37EA1D"/>
    <w:rsid w:val="6FD8C0CA"/>
    <w:rsid w:val="6FE6859B"/>
    <w:rsid w:val="7103E755"/>
    <w:rsid w:val="711916A2"/>
    <w:rsid w:val="712A273C"/>
    <w:rsid w:val="72AF8E35"/>
    <w:rsid w:val="741C4FC2"/>
    <w:rsid w:val="7522B1E6"/>
    <w:rsid w:val="754ADE00"/>
    <w:rsid w:val="75D722F7"/>
    <w:rsid w:val="767B6625"/>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B5A0AAA2-A01C-48F8-B6DC-E30575C7E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15B1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DB396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unhideWhenUsed/>
    <w:rsid w:val="001D21AB"/>
    <w:pPr>
      <w:spacing w:line="240" w:lineRule="auto"/>
    </w:pPr>
    <w:rPr>
      <w:szCs w:val="20"/>
    </w:rPr>
  </w:style>
  <w:style w:type="character" w:customStyle="1" w:styleId="CommentTextChar">
    <w:name w:val="Comment Text Char"/>
    <w:basedOn w:val="DefaultParagraphFont"/>
    <w:link w:val="CommentText"/>
    <w:uiPriority w:val="99"/>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rsid w:val="00757DAB"/>
    <w:rPr>
      <w:rFonts w:ascii="Arial" w:eastAsia="宋体" w:hAnsi="Arial" w:cs="Times New Roman"/>
      <w:sz w:val="18"/>
      <w:szCs w:val="20"/>
      <w:lang w:val="en-GB"/>
    </w:rPr>
  </w:style>
  <w:style w:type="character" w:customStyle="1" w:styleId="TAHCar">
    <w:name w:val="TAH Car"/>
    <w:link w:val="TAH"/>
    <w:qFormat/>
    <w:rsid w:val="00757DAB"/>
    <w:rPr>
      <w:rFonts w:ascii="Arial" w:eastAsia="宋体"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hAnsi="Arial" w:cs="Times New Roman"/>
      <w:sz w:val="18"/>
      <w:szCs w:val="20"/>
      <w:lang w:val="en-GB"/>
    </w:rPr>
  </w:style>
  <w:style w:type="character" w:customStyle="1" w:styleId="TANChar">
    <w:name w:val="TAN Char"/>
    <w:link w:val="TAN"/>
    <w:qFormat/>
    <w:rsid w:val="00757DAB"/>
    <w:rPr>
      <w:rFonts w:ascii="Arial" w:eastAsia="宋体" w:hAnsi="Arial" w:cs="Times New Roman"/>
      <w:sz w:val="18"/>
      <w:szCs w:val="20"/>
      <w:lang w:val="en-GB"/>
    </w:rPr>
  </w:style>
  <w:style w:type="character" w:styleId="UnresolvedMention">
    <w:name w:val="Unresolved Mention"/>
    <w:basedOn w:val="DefaultParagraphFont"/>
    <w:uiPriority w:val="99"/>
    <w:unhideWhenUsed/>
    <w:rsid w:val="00C022C8"/>
    <w:rPr>
      <w:color w:val="605E5C"/>
      <w:shd w:val="clear" w:color="auto" w:fill="E1DFDD"/>
    </w:rPr>
  </w:style>
  <w:style w:type="character" w:styleId="Mention">
    <w:name w:val="Mention"/>
    <w:basedOn w:val="DefaultParagraphFont"/>
    <w:uiPriority w:val="99"/>
    <w:unhideWhenUsed/>
    <w:rsid w:val="00E77DC0"/>
    <w:rPr>
      <w:color w:val="2B579A"/>
      <w:shd w:val="clear" w:color="auto" w:fill="E1DFDD"/>
    </w:rPr>
  </w:style>
  <w:style w:type="paragraph" w:customStyle="1" w:styleId="B2">
    <w:name w:val="B2"/>
    <w:basedOn w:val="Normal"/>
    <w:link w:val="B2Char"/>
    <w:rsid w:val="00D32AC9"/>
    <w:pPr>
      <w:spacing w:after="180" w:line="240" w:lineRule="auto"/>
      <w:ind w:left="851" w:hanging="284"/>
    </w:pPr>
    <w:rPr>
      <w:rFonts w:cs="Times New Roman"/>
      <w:szCs w:val="20"/>
      <w:lang w:val="en-GB"/>
    </w:rPr>
  </w:style>
  <w:style w:type="character" w:customStyle="1" w:styleId="B2Char">
    <w:name w:val="B2 Char"/>
    <w:link w:val="B2"/>
    <w:rsid w:val="00D32AC9"/>
    <w:rPr>
      <w:rFonts w:ascii="Times New Roman" w:eastAsia="宋体" w:hAnsi="Times New Roman" w:cs="Times New Roman"/>
      <w:sz w:val="20"/>
      <w:szCs w:val="20"/>
      <w:lang w:val="en-GB"/>
    </w:rPr>
  </w:style>
  <w:style w:type="paragraph" w:customStyle="1" w:styleId="B3">
    <w:name w:val="B3"/>
    <w:basedOn w:val="Normal"/>
    <w:link w:val="B3Char"/>
    <w:qFormat/>
    <w:rsid w:val="00D32AC9"/>
    <w:pPr>
      <w:spacing w:after="180" w:line="240" w:lineRule="auto"/>
      <w:ind w:left="1135" w:hanging="284"/>
    </w:pPr>
    <w:rPr>
      <w:rFonts w:cs="Times New Roman"/>
      <w:szCs w:val="20"/>
      <w:lang w:val="en-GB"/>
    </w:rPr>
  </w:style>
  <w:style w:type="character" w:customStyle="1" w:styleId="B3Char">
    <w:name w:val="B3 Char"/>
    <w:link w:val="B3"/>
    <w:locked/>
    <w:rsid w:val="00D32AC9"/>
    <w:rPr>
      <w:rFonts w:ascii="Times New Roman" w:eastAsia="宋体" w:hAnsi="Times New Roman" w:cs="Times New Roman"/>
      <w:sz w:val="20"/>
      <w:szCs w:val="20"/>
      <w:lang w:val="en-GB"/>
    </w:rPr>
  </w:style>
  <w:style w:type="character" w:customStyle="1" w:styleId="THChar">
    <w:name w:val="TH Char"/>
    <w:link w:val="TH"/>
    <w:qFormat/>
    <w:rsid w:val="006F33AF"/>
    <w:rPr>
      <w:rFonts w:ascii="Arial" w:eastAsia="宋体" w:hAnsi="Arial"/>
      <w:b/>
      <w:bCs/>
      <w:lang w:val="en-GB"/>
    </w:rPr>
  </w:style>
  <w:style w:type="paragraph" w:styleId="Title">
    <w:name w:val="Title"/>
    <w:basedOn w:val="Normal"/>
    <w:next w:val="Normal"/>
    <w:link w:val="TitleChar"/>
    <w:uiPriority w:val="10"/>
    <w:qFormat/>
    <w:rsid w:val="006F33AF"/>
    <w:pPr>
      <w:widowControl w:val="0"/>
      <w:spacing w:after="0" w:line="240" w:lineRule="auto"/>
      <w:contextualSpacing/>
      <w:jc w:val="both"/>
    </w:pPr>
    <w:rPr>
      <w:rFonts w:ascii="Cambria" w:hAnsi="Cambria" w:cs="Times New Roman"/>
      <w:spacing w:val="-10"/>
      <w:kern w:val="28"/>
      <w:sz w:val="56"/>
      <w:szCs w:val="56"/>
      <w:lang w:eastAsia="zh-CN"/>
    </w:rPr>
  </w:style>
  <w:style w:type="character" w:customStyle="1" w:styleId="TitleChar">
    <w:name w:val="Title Char"/>
    <w:basedOn w:val="DefaultParagraphFont"/>
    <w:link w:val="Title"/>
    <w:uiPriority w:val="10"/>
    <w:rsid w:val="006F33AF"/>
    <w:rPr>
      <w:rFonts w:ascii="Cambria" w:eastAsia="宋体" w:hAnsi="Cambria" w:cs="Times New Roman"/>
      <w:spacing w:val="-10"/>
      <w:kern w:val="28"/>
      <w:sz w:val="56"/>
      <w:szCs w:val="56"/>
      <w:lang w:eastAsia="zh-CN"/>
    </w:rPr>
  </w:style>
  <w:style w:type="paragraph" w:customStyle="1" w:styleId="TH">
    <w:name w:val="TH"/>
    <w:basedOn w:val="Normal"/>
    <w:link w:val="THChar"/>
    <w:qFormat/>
    <w:rsid w:val="006F33AF"/>
    <w:pPr>
      <w:keepNext/>
      <w:keepLines/>
      <w:overflowPunct w:val="0"/>
      <w:autoSpaceDE w:val="0"/>
      <w:autoSpaceDN w:val="0"/>
      <w:adjustRightInd w:val="0"/>
      <w:spacing w:before="60" w:after="180" w:line="240" w:lineRule="auto"/>
      <w:jc w:val="center"/>
      <w:textAlignment w:val="baseline"/>
    </w:pPr>
    <w:rPr>
      <w:rFonts w:ascii="Arial" w:hAnsi="Arial"/>
      <w:b/>
      <w:bCs/>
      <w:sz w:val="22"/>
      <w:lang w:val="en-GB"/>
    </w:rPr>
  </w:style>
  <w:style w:type="paragraph" w:styleId="NormalWeb">
    <w:name w:val="Normal (Web)"/>
    <w:basedOn w:val="Normal"/>
    <w:uiPriority w:val="99"/>
    <w:semiHidden/>
    <w:unhideWhenUsed/>
    <w:rsid w:val="00B24A72"/>
    <w:pPr>
      <w:spacing w:before="100" w:beforeAutospacing="1" w:after="100" w:afterAutospacing="1" w:line="240" w:lineRule="auto"/>
    </w:pPr>
    <w:rPr>
      <w:rFonts w:eastAsia="Times New Roman" w:cs="Times New Roman"/>
      <w:sz w:val="24"/>
      <w:szCs w:val="24"/>
      <w:lang w:eastAsia="zh-CN"/>
    </w:rPr>
  </w:style>
  <w:style w:type="character" w:customStyle="1" w:styleId="Heading5Char">
    <w:name w:val="Heading 5 Char"/>
    <w:basedOn w:val="DefaultParagraphFont"/>
    <w:link w:val="Heading5"/>
    <w:uiPriority w:val="9"/>
    <w:semiHidden/>
    <w:rsid w:val="00DB3966"/>
    <w:rPr>
      <w:rFonts w:asciiTheme="majorHAnsi" w:eastAsiaTheme="majorEastAsia" w:hAnsiTheme="majorHAnsi" w:cstheme="majorBidi"/>
      <w:color w:val="2F5496" w:themeColor="accent1" w:themeShade="BF"/>
      <w:sz w:val="20"/>
    </w:rPr>
  </w:style>
  <w:style w:type="character" w:customStyle="1" w:styleId="Heading3Char">
    <w:name w:val="Heading 3 Char"/>
    <w:basedOn w:val="DefaultParagraphFont"/>
    <w:link w:val="Heading3"/>
    <w:uiPriority w:val="9"/>
    <w:semiHidden/>
    <w:rsid w:val="00215B15"/>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BE32D6"/>
    <w:pPr>
      <w:spacing w:after="0" w:line="240" w:lineRule="auto"/>
    </w:pPr>
    <w:rPr>
      <w:rFonts w:ascii="Times New Roman" w:hAnsi="Times New Roman"/>
      <w:sz w:val="20"/>
    </w:rPr>
  </w:style>
  <w:style w:type="paragraph" w:customStyle="1" w:styleId="B1">
    <w:name w:val="B1"/>
    <w:basedOn w:val="Normal"/>
    <w:link w:val="B1Char"/>
    <w:qFormat/>
    <w:rsid w:val="00906A9D"/>
    <w:pPr>
      <w:spacing w:after="180" w:line="240" w:lineRule="auto"/>
      <w:ind w:left="568" w:hanging="284"/>
    </w:pPr>
    <w:rPr>
      <w:rFonts w:cs="Times New Roman"/>
      <w:szCs w:val="20"/>
      <w:lang w:val="en-GB"/>
    </w:rPr>
  </w:style>
  <w:style w:type="character" w:customStyle="1" w:styleId="B1Char">
    <w:name w:val="B1 Char"/>
    <w:link w:val="B1"/>
    <w:qFormat/>
    <w:rsid w:val="00906A9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0682">
      <w:bodyDiv w:val="1"/>
      <w:marLeft w:val="0"/>
      <w:marRight w:val="0"/>
      <w:marTop w:val="0"/>
      <w:marBottom w:val="0"/>
      <w:divBdr>
        <w:top w:val="none" w:sz="0" w:space="0" w:color="auto"/>
        <w:left w:val="none" w:sz="0" w:space="0" w:color="auto"/>
        <w:bottom w:val="none" w:sz="0" w:space="0" w:color="auto"/>
        <w:right w:val="none" w:sz="0" w:space="0" w:color="auto"/>
      </w:divBdr>
      <w:divsChild>
        <w:div w:id="289825603">
          <w:marLeft w:val="2520"/>
          <w:marRight w:val="0"/>
          <w:marTop w:val="100"/>
          <w:marBottom w:val="0"/>
          <w:divBdr>
            <w:top w:val="none" w:sz="0" w:space="0" w:color="auto"/>
            <w:left w:val="none" w:sz="0" w:space="0" w:color="auto"/>
            <w:bottom w:val="none" w:sz="0" w:space="0" w:color="auto"/>
            <w:right w:val="none" w:sz="0" w:space="0" w:color="auto"/>
          </w:divBdr>
        </w:div>
        <w:div w:id="1446970567">
          <w:marLeft w:val="1080"/>
          <w:marRight w:val="0"/>
          <w:marTop w:val="120"/>
          <w:marBottom w:val="120"/>
          <w:divBdr>
            <w:top w:val="none" w:sz="0" w:space="0" w:color="auto"/>
            <w:left w:val="none" w:sz="0" w:space="0" w:color="auto"/>
            <w:bottom w:val="none" w:sz="0" w:space="0" w:color="auto"/>
            <w:right w:val="none" w:sz="0" w:space="0" w:color="auto"/>
          </w:divBdr>
        </w:div>
        <w:div w:id="1489832339">
          <w:marLeft w:val="1800"/>
          <w:marRight w:val="0"/>
          <w:marTop w:val="100"/>
          <w:marBottom w:val="0"/>
          <w:divBdr>
            <w:top w:val="none" w:sz="0" w:space="0" w:color="auto"/>
            <w:left w:val="none" w:sz="0" w:space="0" w:color="auto"/>
            <w:bottom w:val="none" w:sz="0" w:space="0" w:color="auto"/>
            <w:right w:val="none" w:sz="0" w:space="0" w:color="auto"/>
          </w:divBdr>
        </w:div>
        <w:div w:id="1786998532">
          <w:marLeft w:val="2520"/>
          <w:marRight w:val="0"/>
          <w:marTop w:val="100"/>
          <w:marBottom w:val="0"/>
          <w:divBdr>
            <w:top w:val="none" w:sz="0" w:space="0" w:color="auto"/>
            <w:left w:val="none" w:sz="0" w:space="0" w:color="auto"/>
            <w:bottom w:val="none" w:sz="0" w:space="0" w:color="auto"/>
            <w:right w:val="none" w:sz="0" w:space="0" w:color="auto"/>
          </w:divBdr>
        </w:div>
      </w:divsChild>
    </w:div>
    <w:div w:id="91554300">
      <w:bodyDiv w:val="1"/>
      <w:marLeft w:val="0"/>
      <w:marRight w:val="0"/>
      <w:marTop w:val="0"/>
      <w:marBottom w:val="0"/>
      <w:divBdr>
        <w:top w:val="none" w:sz="0" w:space="0" w:color="auto"/>
        <w:left w:val="none" w:sz="0" w:space="0" w:color="auto"/>
        <w:bottom w:val="none" w:sz="0" w:space="0" w:color="auto"/>
        <w:right w:val="none" w:sz="0" w:space="0" w:color="auto"/>
      </w:divBdr>
      <w:divsChild>
        <w:div w:id="449200693">
          <w:marLeft w:val="2520"/>
          <w:marRight w:val="0"/>
          <w:marTop w:val="100"/>
          <w:marBottom w:val="0"/>
          <w:divBdr>
            <w:top w:val="none" w:sz="0" w:space="0" w:color="auto"/>
            <w:left w:val="none" w:sz="0" w:space="0" w:color="auto"/>
            <w:bottom w:val="none" w:sz="0" w:space="0" w:color="auto"/>
            <w:right w:val="none" w:sz="0" w:space="0" w:color="auto"/>
          </w:divBdr>
        </w:div>
        <w:div w:id="459618166">
          <w:marLeft w:val="2520"/>
          <w:marRight w:val="0"/>
          <w:marTop w:val="100"/>
          <w:marBottom w:val="0"/>
          <w:divBdr>
            <w:top w:val="none" w:sz="0" w:space="0" w:color="auto"/>
            <w:left w:val="none" w:sz="0" w:space="0" w:color="auto"/>
            <w:bottom w:val="none" w:sz="0" w:space="0" w:color="auto"/>
            <w:right w:val="none" w:sz="0" w:space="0" w:color="auto"/>
          </w:divBdr>
        </w:div>
        <w:div w:id="789323575">
          <w:marLeft w:val="1080"/>
          <w:marRight w:val="0"/>
          <w:marTop w:val="120"/>
          <w:marBottom w:val="120"/>
          <w:divBdr>
            <w:top w:val="none" w:sz="0" w:space="0" w:color="auto"/>
            <w:left w:val="none" w:sz="0" w:space="0" w:color="auto"/>
            <w:bottom w:val="none" w:sz="0" w:space="0" w:color="auto"/>
            <w:right w:val="none" w:sz="0" w:space="0" w:color="auto"/>
          </w:divBdr>
        </w:div>
        <w:div w:id="926692824">
          <w:marLeft w:val="360"/>
          <w:marRight w:val="0"/>
          <w:marTop w:val="200"/>
          <w:marBottom w:val="0"/>
          <w:divBdr>
            <w:top w:val="none" w:sz="0" w:space="0" w:color="auto"/>
            <w:left w:val="none" w:sz="0" w:space="0" w:color="auto"/>
            <w:bottom w:val="none" w:sz="0" w:space="0" w:color="auto"/>
            <w:right w:val="none" w:sz="0" w:space="0" w:color="auto"/>
          </w:divBdr>
        </w:div>
        <w:div w:id="1285380888">
          <w:marLeft w:val="1800"/>
          <w:marRight w:val="0"/>
          <w:marTop w:val="100"/>
          <w:marBottom w:val="0"/>
          <w:divBdr>
            <w:top w:val="none" w:sz="0" w:space="0" w:color="auto"/>
            <w:left w:val="none" w:sz="0" w:space="0" w:color="auto"/>
            <w:bottom w:val="none" w:sz="0" w:space="0" w:color="auto"/>
            <w:right w:val="none" w:sz="0" w:space="0" w:color="auto"/>
          </w:divBdr>
        </w:div>
      </w:divsChild>
    </w:div>
    <w:div w:id="93482127">
      <w:bodyDiv w:val="1"/>
      <w:marLeft w:val="0"/>
      <w:marRight w:val="0"/>
      <w:marTop w:val="0"/>
      <w:marBottom w:val="0"/>
      <w:divBdr>
        <w:top w:val="none" w:sz="0" w:space="0" w:color="auto"/>
        <w:left w:val="none" w:sz="0" w:space="0" w:color="auto"/>
        <w:bottom w:val="none" w:sz="0" w:space="0" w:color="auto"/>
        <w:right w:val="none" w:sz="0" w:space="0" w:color="auto"/>
      </w:divBdr>
      <w:divsChild>
        <w:div w:id="466314310">
          <w:marLeft w:val="1800"/>
          <w:marRight w:val="0"/>
          <w:marTop w:val="100"/>
          <w:marBottom w:val="0"/>
          <w:divBdr>
            <w:top w:val="none" w:sz="0" w:space="0" w:color="auto"/>
            <w:left w:val="none" w:sz="0" w:space="0" w:color="auto"/>
            <w:bottom w:val="none" w:sz="0" w:space="0" w:color="auto"/>
            <w:right w:val="none" w:sz="0" w:space="0" w:color="auto"/>
          </w:divBdr>
        </w:div>
        <w:div w:id="607663095">
          <w:marLeft w:val="2520"/>
          <w:marRight w:val="0"/>
          <w:marTop w:val="100"/>
          <w:marBottom w:val="0"/>
          <w:divBdr>
            <w:top w:val="none" w:sz="0" w:space="0" w:color="auto"/>
            <w:left w:val="none" w:sz="0" w:space="0" w:color="auto"/>
            <w:bottom w:val="none" w:sz="0" w:space="0" w:color="auto"/>
            <w:right w:val="none" w:sz="0" w:space="0" w:color="auto"/>
          </w:divBdr>
        </w:div>
        <w:div w:id="961961363">
          <w:marLeft w:val="1080"/>
          <w:marRight w:val="0"/>
          <w:marTop w:val="100"/>
          <w:marBottom w:val="0"/>
          <w:divBdr>
            <w:top w:val="none" w:sz="0" w:space="0" w:color="auto"/>
            <w:left w:val="none" w:sz="0" w:space="0" w:color="auto"/>
            <w:bottom w:val="none" w:sz="0" w:space="0" w:color="auto"/>
            <w:right w:val="none" w:sz="0" w:space="0" w:color="auto"/>
          </w:divBdr>
        </w:div>
        <w:div w:id="1262375844">
          <w:marLeft w:val="1800"/>
          <w:marRight w:val="0"/>
          <w:marTop w:val="100"/>
          <w:marBottom w:val="0"/>
          <w:divBdr>
            <w:top w:val="none" w:sz="0" w:space="0" w:color="auto"/>
            <w:left w:val="none" w:sz="0" w:space="0" w:color="auto"/>
            <w:bottom w:val="none" w:sz="0" w:space="0" w:color="auto"/>
            <w:right w:val="none" w:sz="0" w:space="0" w:color="auto"/>
          </w:divBdr>
        </w:div>
        <w:div w:id="1358697427">
          <w:marLeft w:val="360"/>
          <w:marRight w:val="0"/>
          <w:marTop w:val="200"/>
          <w:marBottom w:val="0"/>
          <w:divBdr>
            <w:top w:val="none" w:sz="0" w:space="0" w:color="auto"/>
            <w:left w:val="none" w:sz="0" w:space="0" w:color="auto"/>
            <w:bottom w:val="none" w:sz="0" w:space="0" w:color="auto"/>
            <w:right w:val="none" w:sz="0" w:space="0" w:color="auto"/>
          </w:divBdr>
        </w:div>
        <w:div w:id="1681157916">
          <w:marLeft w:val="1800"/>
          <w:marRight w:val="0"/>
          <w:marTop w:val="100"/>
          <w:marBottom w:val="0"/>
          <w:divBdr>
            <w:top w:val="none" w:sz="0" w:space="0" w:color="auto"/>
            <w:left w:val="none" w:sz="0" w:space="0" w:color="auto"/>
            <w:bottom w:val="none" w:sz="0" w:space="0" w:color="auto"/>
            <w:right w:val="none" w:sz="0" w:space="0" w:color="auto"/>
          </w:divBdr>
        </w:div>
      </w:divsChild>
    </w:div>
    <w:div w:id="186917915">
      <w:bodyDiv w:val="1"/>
      <w:marLeft w:val="0"/>
      <w:marRight w:val="0"/>
      <w:marTop w:val="0"/>
      <w:marBottom w:val="0"/>
      <w:divBdr>
        <w:top w:val="none" w:sz="0" w:space="0" w:color="auto"/>
        <w:left w:val="none" w:sz="0" w:space="0" w:color="auto"/>
        <w:bottom w:val="none" w:sz="0" w:space="0" w:color="auto"/>
        <w:right w:val="none" w:sz="0" w:space="0" w:color="auto"/>
      </w:divBdr>
    </w:div>
    <w:div w:id="187258498">
      <w:bodyDiv w:val="1"/>
      <w:marLeft w:val="0"/>
      <w:marRight w:val="0"/>
      <w:marTop w:val="0"/>
      <w:marBottom w:val="0"/>
      <w:divBdr>
        <w:top w:val="none" w:sz="0" w:space="0" w:color="auto"/>
        <w:left w:val="none" w:sz="0" w:space="0" w:color="auto"/>
        <w:bottom w:val="none" w:sz="0" w:space="0" w:color="auto"/>
        <w:right w:val="none" w:sz="0" w:space="0" w:color="auto"/>
      </w:divBdr>
    </w:div>
    <w:div w:id="196478429">
      <w:bodyDiv w:val="1"/>
      <w:marLeft w:val="0"/>
      <w:marRight w:val="0"/>
      <w:marTop w:val="0"/>
      <w:marBottom w:val="0"/>
      <w:divBdr>
        <w:top w:val="none" w:sz="0" w:space="0" w:color="auto"/>
        <w:left w:val="none" w:sz="0" w:space="0" w:color="auto"/>
        <w:bottom w:val="none" w:sz="0" w:space="0" w:color="auto"/>
        <w:right w:val="none" w:sz="0" w:space="0" w:color="auto"/>
      </w:divBdr>
      <w:divsChild>
        <w:div w:id="79641771">
          <w:marLeft w:val="1080"/>
          <w:marRight w:val="0"/>
          <w:marTop w:val="100"/>
          <w:marBottom w:val="0"/>
          <w:divBdr>
            <w:top w:val="none" w:sz="0" w:space="0" w:color="auto"/>
            <w:left w:val="none" w:sz="0" w:space="0" w:color="auto"/>
            <w:bottom w:val="none" w:sz="0" w:space="0" w:color="auto"/>
            <w:right w:val="none" w:sz="0" w:space="0" w:color="auto"/>
          </w:divBdr>
        </w:div>
        <w:div w:id="1485587842">
          <w:marLeft w:val="1080"/>
          <w:marRight w:val="0"/>
          <w:marTop w:val="100"/>
          <w:marBottom w:val="0"/>
          <w:divBdr>
            <w:top w:val="none" w:sz="0" w:space="0" w:color="auto"/>
            <w:left w:val="none" w:sz="0" w:space="0" w:color="auto"/>
            <w:bottom w:val="none" w:sz="0" w:space="0" w:color="auto"/>
            <w:right w:val="none" w:sz="0" w:space="0" w:color="auto"/>
          </w:divBdr>
        </w:div>
        <w:div w:id="1767996882">
          <w:marLeft w:val="1800"/>
          <w:marRight w:val="0"/>
          <w:marTop w:val="100"/>
          <w:marBottom w:val="0"/>
          <w:divBdr>
            <w:top w:val="none" w:sz="0" w:space="0" w:color="auto"/>
            <w:left w:val="none" w:sz="0" w:space="0" w:color="auto"/>
            <w:bottom w:val="none" w:sz="0" w:space="0" w:color="auto"/>
            <w:right w:val="none" w:sz="0" w:space="0" w:color="auto"/>
          </w:divBdr>
        </w:div>
        <w:div w:id="1911578813">
          <w:marLeft w:val="1800"/>
          <w:marRight w:val="0"/>
          <w:marTop w:val="100"/>
          <w:marBottom w:val="0"/>
          <w:divBdr>
            <w:top w:val="none" w:sz="0" w:space="0" w:color="auto"/>
            <w:left w:val="none" w:sz="0" w:space="0" w:color="auto"/>
            <w:bottom w:val="none" w:sz="0" w:space="0" w:color="auto"/>
            <w:right w:val="none" w:sz="0" w:space="0" w:color="auto"/>
          </w:divBdr>
        </w:div>
        <w:div w:id="2054959815">
          <w:marLeft w:val="1080"/>
          <w:marRight w:val="0"/>
          <w:marTop w:val="100"/>
          <w:marBottom w:val="0"/>
          <w:divBdr>
            <w:top w:val="none" w:sz="0" w:space="0" w:color="auto"/>
            <w:left w:val="none" w:sz="0" w:space="0" w:color="auto"/>
            <w:bottom w:val="none" w:sz="0" w:space="0" w:color="auto"/>
            <w:right w:val="none" w:sz="0" w:space="0" w:color="auto"/>
          </w:divBdr>
        </w:div>
      </w:divsChild>
    </w:div>
    <w:div w:id="402485325">
      <w:bodyDiv w:val="1"/>
      <w:marLeft w:val="0"/>
      <w:marRight w:val="0"/>
      <w:marTop w:val="0"/>
      <w:marBottom w:val="0"/>
      <w:divBdr>
        <w:top w:val="none" w:sz="0" w:space="0" w:color="auto"/>
        <w:left w:val="none" w:sz="0" w:space="0" w:color="auto"/>
        <w:bottom w:val="none" w:sz="0" w:space="0" w:color="auto"/>
        <w:right w:val="none" w:sz="0" w:space="0" w:color="auto"/>
      </w:divBdr>
      <w:divsChild>
        <w:div w:id="379865257">
          <w:marLeft w:val="1080"/>
          <w:marRight w:val="0"/>
          <w:marTop w:val="100"/>
          <w:marBottom w:val="0"/>
          <w:divBdr>
            <w:top w:val="none" w:sz="0" w:space="0" w:color="auto"/>
            <w:left w:val="none" w:sz="0" w:space="0" w:color="auto"/>
            <w:bottom w:val="none" w:sz="0" w:space="0" w:color="auto"/>
            <w:right w:val="none" w:sz="0" w:space="0" w:color="auto"/>
          </w:divBdr>
        </w:div>
        <w:div w:id="1075123519">
          <w:marLeft w:val="1080"/>
          <w:marRight w:val="0"/>
          <w:marTop w:val="100"/>
          <w:marBottom w:val="0"/>
          <w:divBdr>
            <w:top w:val="none" w:sz="0" w:space="0" w:color="auto"/>
            <w:left w:val="none" w:sz="0" w:space="0" w:color="auto"/>
            <w:bottom w:val="none" w:sz="0" w:space="0" w:color="auto"/>
            <w:right w:val="none" w:sz="0" w:space="0" w:color="auto"/>
          </w:divBdr>
        </w:div>
      </w:divsChild>
    </w:div>
    <w:div w:id="451637969">
      <w:bodyDiv w:val="1"/>
      <w:marLeft w:val="0"/>
      <w:marRight w:val="0"/>
      <w:marTop w:val="0"/>
      <w:marBottom w:val="0"/>
      <w:divBdr>
        <w:top w:val="none" w:sz="0" w:space="0" w:color="auto"/>
        <w:left w:val="none" w:sz="0" w:space="0" w:color="auto"/>
        <w:bottom w:val="none" w:sz="0" w:space="0" w:color="auto"/>
        <w:right w:val="none" w:sz="0" w:space="0" w:color="auto"/>
      </w:divBdr>
      <w:divsChild>
        <w:div w:id="1634629874">
          <w:marLeft w:val="0"/>
          <w:marRight w:val="0"/>
          <w:marTop w:val="0"/>
          <w:marBottom w:val="0"/>
          <w:divBdr>
            <w:top w:val="none" w:sz="0" w:space="0" w:color="auto"/>
            <w:left w:val="none" w:sz="0" w:space="0" w:color="auto"/>
            <w:bottom w:val="none" w:sz="0" w:space="0" w:color="auto"/>
            <w:right w:val="none" w:sz="0" w:space="0" w:color="auto"/>
          </w:divBdr>
        </w:div>
      </w:divsChild>
    </w:div>
    <w:div w:id="466701349">
      <w:bodyDiv w:val="1"/>
      <w:marLeft w:val="0"/>
      <w:marRight w:val="0"/>
      <w:marTop w:val="0"/>
      <w:marBottom w:val="0"/>
      <w:divBdr>
        <w:top w:val="none" w:sz="0" w:space="0" w:color="auto"/>
        <w:left w:val="none" w:sz="0" w:space="0" w:color="auto"/>
        <w:bottom w:val="none" w:sz="0" w:space="0" w:color="auto"/>
        <w:right w:val="none" w:sz="0" w:space="0" w:color="auto"/>
      </w:divBdr>
      <w:divsChild>
        <w:div w:id="277299874">
          <w:marLeft w:val="1800"/>
          <w:marRight w:val="0"/>
          <w:marTop w:val="100"/>
          <w:marBottom w:val="0"/>
          <w:divBdr>
            <w:top w:val="none" w:sz="0" w:space="0" w:color="auto"/>
            <w:left w:val="none" w:sz="0" w:space="0" w:color="auto"/>
            <w:bottom w:val="none" w:sz="0" w:space="0" w:color="auto"/>
            <w:right w:val="none" w:sz="0" w:space="0" w:color="auto"/>
          </w:divBdr>
        </w:div>
        <w:div w:id="345979398">
          <w:marLeft w:val="1800"/>
          <w:marRight w:val="0"/>
          <w:marTop w:val="100"/>
          <w:marBottom w:val="0"/>
          <w:divBdr>
            <w:top w:val="none" w:sz="0" w:space="0" w:color="auto"/>
            <w:left w:val="none" w:sz="0" w:space="0" w:color="auto"/>
            <w:bottom w:val="none" w:sz="0" w:space="0" w:color="auto"/>
            <w:right w:val="none" w:sz="0" w:space="0" w:color="auto"/>
          </w:divBdr>
        </w:div>
        <w:div w:id="441848457">
          <w:marLeft w:val="2520"/>
          <w:marRight w:val="0"/>
          <w:marTop w:val="100"/>
          <w:marBottom w:val="0"/>
          <w:divBdr>
            <w:top w:val="none" w:sz="0" w:space="0" w:color="auto"/>
            <w:left w:val="none" w:sz="0" w:space="0" w:color="auto"/>
            <w:bottom w:val="none" w:sz="0" w:space="0" w:color="auto"/>
            <w:right w:val="none" w:sz="0" w:space="0" w:color="auto"/>
          </w:divBdr>
        </w:div>
        <w:div w:id="776409313">
          <w:marLeft w:val="2520"/>
          <w:marRight w:val="0"/>
          <w:marTop w:val="100"/>
          <w:marBottom w:val="0"/>
          <w:divBdr>
            <w:top w:val="none" w:sz="0" w:space="0" w:color="auto"/>
            <w:left w:val="none" w:sz="0" w:space="0" w:color="auto"/>
            <w:bottom w:val="none" w:sz="0" w:space="0" w:color="auto"/>
            <w:right w:val="none" w:sz="0" w:space="0" w:color="auto"/>
          </w:divBdr>
        </w:div>
        <w:div w:id="1644040640">
          <w:marLeft w:val="1800"/>
          <w:marRight w:val="0"/>
          <w:marTop w:val="100"/>
          <w:marBottom w:val="0"/>
          <w:divBdr>
            <w:top w:val="none" w:sz="0" w:space="0" w:color="auto"/>
            <w:left w:val="none" w:sz="0" w:space="0" w:color="auto"/>
            <w:bottom w:val="none" w:sz="0" w:space="0" w:color="auto"/>
            <w:right w:val="none" w:sz="0" w:space="0" w:color="auto"/>
          </w:divBdr>
        </w:div>
        <w:div w:id="1923686329">
          <w:marLeft w:val="1800"/>
          <w:marRight w:val="0"/>
          <w:marTop w:val="100"/>
          <w:marBottom w:val="0"/>
          <w:divBdr>
            <w:top w:val="none" w:sz="0" w:space="0" w:color="auto"/>
            <w:left w:val="none" w:sz="0" w:space="0" w:color="auto"/>
            <w:bottom w:val="none" w:sz="0" w:space="0" w:color="auto"/>
            <w:right w:val="none" w:sz="0" w:space="0" w:color="auto"/>
          </w:divBdr>
        </w:div>
      </w:divsChild>
    </w:div>
    <w:div w:id="518204376">
      <w:bodyDiv w:val="1"/>
      <w:marLeft w:val="0"/>
      <w:marRight w:val="0"/>
      <w:marTop w:val="0"/>
      <w:marBottom w:val="0"/>
      <w:divBdr>
        <w:top w:val="none" w:sz="0" w:space="0" w:color="auto"/>
        <w:left w:val="none" w:sz="0" w:space="0" w:color="auto"/>
        <w:bottom w:val="none" w:sz="0" w:space="0" w:color="auto"/>
        <w:right w:val="none" w:sz="0" w:space="0" w:color="auto"/>
      </w:divBdr>
    </w:div>
    <w:div w:id="538278090">
      <w:bodyDiv w:val="1"/>
      <w:marLeft w:val="0"/>
      <w:marRight w:val="0"/>
      <w:marTop w:val="0"/>
      <w:marBottom w:val="0"/>
      <w:divBdr>
        <w:top w:val="none" w:sz="0" w:space="0" w:color="auto"/>
        <w:left w:val="none" w:sz="0" w:space="0" w:color="auto"/>
        <w:bottom w:val="none" w:sz="0" w:space="0" w:color="auto"/>
        <w:right w:val="none" w:sz="0" w:space="0" w:color="auto"/>
      </w:divBdr>
    </w:div>
    <w:div w:id="636685928">
      <w:bodyDiv w:val="1"/>
      <w:marLeft w:val="0"/>
      <w:marRight w:val="0"/>
      <w:marTop w:val="0"/>
      <w:marBottom w:val="0"/>
      <w:divBdr>
        <w:top w:val="none" w:sz="0" w:space="0" w:color="auto"/>
        <w:left w:val="none" w:sz="0" w:space="0" w:color="auto"/>
        <w:bottom w:val="none" w:sz="0" w:space="0" w:color="auto"/>
        <w:right w:val="none" w:sz="0" w:space="0" w:color="auto"/>
      </w:divBdr>
      <w:divsChild>
        <w:div w:id="889075138">
          <w:marLeft w:val="1080"/>
          <w:marRight w:val="0"/>
          <w:marTop w:val="100"/>
          <w:marBottom w:val="0"/>
          <w:divBdr>
            <w:top w:val="none" w:sz="0" w:space="0" w:color="auto"/>
            <w:left w:val="none" w:sz="0" w:space="0" w:color="auto"/>
            <w:bottom w:val="none" w:sz="0" w:space="0" w:color="auto"/>
            <w:right w:val="none" w:sz="0" w:space="0" w:color="auto"/>
          </w:divBdr>
        </w:div>
        <w:div w:id="1525704796">
          <w:marLeft w:val="1800"/>
          <w:marRight w:val="0"/>
          <w:marTop w:val="100"/>
          <w:marBottom w:val="0"/>
          <w:divBdr>
            <w:top w:val="none" w:sz="0" w:space="0" w:color="auto"/>
            <w:left w:val="none" w:sz="0" w:space="0" w:color="auto"/>
            <w:bottom w:val="none" w:sz="0" w:space="0" w:color="auto"/>
            <w:right w:val="none" w:sz="0" w:space="0" w:color="auto"/>
          </w:divBdr>
        </w:div>
      </w:divsChild>
    </w:div>
    <w:div w:id="879590916">
      <w:bodyDiv w:val="1"/>
      <w:marLeft w:val="0"/>
      <w:marRight w:val="0"/>
      <w:marTop w:val="0"/>
      <w:marBottom w:val="0"/>
      <w:divBdr>
        <w:top w:val="none" w:sz="0" w:space="0" w:color="auto"/>
        <w:left w:val="none" w:sz="0" w:space="0" w:color="auto"/>
        <w:bottom w:val="none" w:sz="0" w:space="0" w:color="auto"/>
        <w:right w:val="none" w:sz="0" w:space="0" w:color="auto"/>
      </w:divBdr>
      <w:divsChild>
        <w:div w:id="326521633">
          <w:marLeft w:val="1800"/>
          <w:marRight w:val="0"/>
          <w:marTop w:val="100"/>
          <w:marBottom w:val="0"/>
          <w:divBdr>
            <w:top w:val="none" w:sz="0" w:space="0" w:color="auto"/>
            <w:left w:val="none" w:sz="0" w:space="0" w:color="auto"/>
            <w:bottom w:val="none" w:sz="0" w:space="0" w:color="auto"/>
            <w:right w:val="none" w:sz="0" w:space="0" w:color="auto"/>
          </w:divBdr>
        </w:div>
        <w:div w:id="755781369">
          <w:marLeft w:val="2520"/>
          <w:marRight w:val="0"/>
          <w:marTop w:val="100"/>
          <w:marBottom w:val="0"/>
          <w:divBdr>
            <w:top w:val="none" w:sz="0" w:space="0" w:color="auto"/>
            <w:left w:val="none" w:sz="0" w:space="0" w:color="auto"/>
            <w:bottom w:val="none" w:sz="0" w:space="0" w:color="auto"/>
            <w:right w:val="none" w:sz="0" w:space="0" w:color="auto"/>
          </w:divBdr>
        </w:div>
        <w:div w:id="864830340">
          <w:marLeft w:val="2520"/>
          <w:marRight w:val="0"/>
          <w:marTop w:val="100"/>
          <w:marBottom w:val="0"/>
          <w:divBdr>
            <w:top w:val="none" w:sz="0" w:space="0" w:color="auto"/>
            <w:left w:val="none" w:sz="0" w:space="0" w:color="auto"/>
            <w:bottom w:val="none" w:sz="0" w:space="0" w:color="auto"/>
            <w:right w:val="none" w:sz="0" w:space="0" w:color="auto"/>
          </w:divBdr>
        </w:div>
        <w:div w:id="932516156">
          <w:marLeft w:val="1080"/>
          <w:marRight w:val="0"/>
          <w:marTop w:val="100"/>
          <w:marBottom w:val="0"/>
          <w:divBdr>
            <w:top w:val="none" w:sz="0" w:space="0" w:color="auto"/>
            <w:left w:val="none" w:sz="0" w:space="0" w:color="auto"/>
            <w:bottom w:val="none" w:sz="0" w:space="0" w:color="auto"/>
            <w:right w:val="none" w:sz="0" w:space="0" w:color="auto"/>
          </w:divBdr>
        </w:div>
        <w:div w:id="946229816">
          <w:marLeft w:val="1800"/>
          <w:marRight w:val="0"/>
          <w:marTop w:val="100"/>
          <w:marBottom w:val="0"/>
          <w:divBdr>
            <w:top w:val="none" w:sz="0" w:space="0" w:color="auto"/>
            <w:left w:val="none" w:sz="0" w:space="0" w:color="auto"/>
            <w:bottom w:val="none" w:sz="0" w:space="0" w:color="auto"/>
            <w:right w:val="none" w:sz="0" w:space="0" w:color="auto"/>
          </w:divBdr>
        </w:div>
        <w:div w:id="986055211">
          <w:marLeft w:val="2520"/>
          <w:marRight w:val="0"/>
          <w:marTop w:val="100"/>
          <w:marBottom w:val="0"/>
          <w:divBdr>
            <w:top w:val="none" w:sz="0" w:space="0" w:color="auto"/>
            <w:left w:val="none" w:sz="0" w:space="0" w:color="auto"/>
            <w:bottom w:val="none" w:sz="0" w:space="0" w:color="auto"/>
            <w:right w:val="none" w:sz="0" w:space="0" w:color="auto"/>
          </w:divBdr>
        </w:div>
        <w:div w:id="1308903172">
          <w:marLeft w:val="1800"/>
          <w:marRight w:val="0"/>
          <w:marTop w:val="100"/>
          <w:marBottom w:val="0"/>
          <w:divBdr>
            <w:top w:val="none" w:sz="0" w:space="0" w:color="auto"/>
            <w:left w:val="none" w:sz="0" w:space="0" w:color="auto"/>
            <w:bottom w:val="none" w:sz="0" w:space="0" w:color="auto"/>
            <w:right w:val="none" w:sz="0" w:space="0" w:color="auto"/>
          </w:divBdr>
        </w:div>
        <w:div w:id="1499272853">
          <w:marLeft w:val="2520"/>
          <w:marRight w:val="0"/>
          <w:marTop w:val="100"/>
          <w:marBottom w:val="0"/>
          <w:divBdr>
            <w:top w:val="none" w:sz="0" w:space="0" w:color="auto"/>
            <w:left w:val="none" w:sz="0" w:space="0" w:color="auto"/>
            <w:bottom w:val="none" w:sz="0" w:space="0" w:color="auto"/>
            <w:right w:val="none" w:sz="0" w:space="0" w:color="auto"/>
          </w:divBdr>
        </w:div>
        <w:div w:id="1684671786">
          <w:marLeft w:val="360"/>
          <w:marRight w:val="0"/>
          <w:marTop w:val="200"/>
          <w:marBottom w:val="0"/>
          <w:divBdr>
            <w:top w:val="none" w:sz="0" w:space="0" w:color="auto"/>
            <w:left w:val="none" w:sz="0" w:space="0" w:color="auto"/>
            <w:bottom w:val="none" w:sz="0" w:space="0" w:color="auto"/>
            <w:right w:val="none" w:sz="0" w:space="0" w:color="auto"/>
          </w:divBdr>
        </w:div>
        <w:div w:id="2120103108">
          <w:marLeft w:val="2520"/>
          <w:marRight w:val="0"/>
          <w:marTop w:val="100"/>
          <w:marBottom w:val="0"/>
          <w:divBdr>
            <w:top w:val="none" w:sz="0" w:space="0" w:color="auto"/>
            <w:left w:val="none" w:sz="0" w:space="0" w:color="auto"/>
            <w:bottom w:val="none" w:sz="0" w:space="0" w:color="auto"/>
            <w:right w:val="none" w:sz="0" w:space="0" w:color="auto"/>
          </w:divBdr>
        </w:div>
      </w:divsChild>
    </w:div>
    <w:div w:id="959603132">
      <w:bodyDiv w:val="1"/>
      <w:marLeft w:val="0"/>
      <w:marRight w:val="0"/>
      <w:marTop w:val="0"/>
      <w:marBottom w:val="0"/>
      <w:divBdr>
        <w:top w:val="none" w:sz="0" w:space="0" w:color="auto"/>
        <w:left w:val="none" w:sz="0" w:space="0" w:color="auto"/>
        <w:bottom w:val="none" w:sz="0" w:space="0" w:color="auto"/>
        <w:right w:val="none" w:sz="0" w:space="0" w:color="auto"/>
      </w:divBdr>
      <w:divsChild>
        <w:div w:id="1235824461">
          <w:marLeft w:val="1080"/>
          <w:marRight w:val="0"/>
          <w:marTop w:val="100"/>
          <w:marBottom w:val="0"/>
          <w:divBdr>
            <w:top w:val="none" w:sz="0" w:space="0" w:color="auto"/>
            <w:left w:val="none" w:sz="0" w:space="0" w:color="auto"/>
            <w:bottom w:val="none" w:sz="0" w:space="0" w:color="auto"/>
            <w:right w:val="none" w:sz="0" w:space="0" w:color="auto"/>
          </w:divBdr>
        </w:div>
      </w:divsChild>
    </w:div>
    <w:div w:id="981272553">
      <w:bodyDiv w:val="1"/>
      <w:marLeft w:val="0"/>
      <w:marRight w:val="0"/>
      <w:marTop w:val="0"/>
      <w:marBottom w:val="0"/>
      <w:divBdr>
        <w:top w:val="none" w:sz="0" w:space="0" w:color="auto"/>
        <w:left w:val="none" w:sz="0" w:space="0" w:color="auto"/>
        <w:bottom w:val="none" w:sz="0" w:space="0" w:color="auto"/>
        <w:right w:val="none" w:sz="0" w:space="0" w:color="auto"/>
      </w:divBdr>
    </w:div>
    <w:div w:id="1071735586">
      <w:bodyDiv w:val="1"/>
      <w:marLeft w:val="0"/>
      <w:marRight w:val="0"/>
      <w:marTop w:val="0"/>
      <w:marBottom w:val="0"/>
      <w:divBdr>
        <w:top w:val="none" w:sz="0" w:space="0" w:color="auto"/>
        <w:left w:val="none" w:sz="0" w:space="0" w:color="auto"/>
        <w:bottom w:val="none" w:sz="0" w:space="0" w:color="auto"/>
        <w:right w:val="none" w:sz="0" w:space="0" w:color="auto"/>
      </w:divBdr>
    </w:div>
    <w:div w:id="1128662864">
      <w:bodyDiv w:val="1"/>
      <w:marLeft w:val="0"/>
      <w:marRight w:val="0"/>
      <w:marTop w:val="0"/>
      <w:marBottom w:val="0"/>
      <w:divBdr>
        <w:top w:val="none" w:sz="0" w:space="0" w:color="auto"/>
        <w:left w:val="none" w:sz="0" w:space="0" w:color="auto"/>
        <w:bottom w:val="none" w:sz="0" w:space="0" w:color="auto"/>
        <w:right w:val="none" w:sz="0" w:space="0" w:color="auto"/>
      </w:divBdr>
      <w:divsChild>
        <w:div w:id="1176266652">
          <w:marLeft w:val="1080"/>
          <w:marRight w:val="0"/>
          <w:marTop w:val="100"/>
          <w:marBottom w:val="0"/>
          <w:divBdr>
            <w:top w:val="none" w:sz="0" w:space="0" w:color="auto"/>
            <w:left w:val="none" w:sz="0" w:space="0" w:color="auto"/>
            <w:bottom w:val="none" w:sz="0" w:space="0" w:color="auto"/>
            <w:right w:val="none" w:sz="0" w:space="0" w:color="auto"/>
          </w:divBdr>
        </w:div>
        <w:div w:id="1196187990">
          <w:marLeft w:val="1800"/>
          <w:marRight w:val="0"/>
          <w:marTop w:val="100"/>
          <w:marBottom w:val="0"/>
          <w:divBdr>
            <w:top w:val="none" w:sz="0" w:space="0" w:color="auto"/>
            <w:left w:val="none" w:sz="0" w:space="0" w:color="auto"/>
            <w:bottom w:val="none" w:sz="0" w:space="0" w:color="auto"/>
            <w:right w:val="none" w:sz="0" w:space="0" w:color="auto"/>
          </w:divBdr>
        </w:div>
      </w:divsChild>
    </w:div>
    <w:div w:id="1236476876">
      <w:bodyDiv w:val="1"/>
      <w:marLeft w:val="0"/>
      <w:marRight w:val="0"/>
      <w:marTop w:val="0"/>
      <w:marBottom w:val="0"/>
      <w:divBdr>
        <w:top w:val="none" w:sz="0" w:space="0" w:color="auto"/>
        <w:left w:val="none" w:sz="0" w:space="0" w:color="auto"/>
        <w:bottom w:val="none" w:sz="0" w:space="0" w:color="auto"/>
        <w:right w:val="none" w:sz="0" w:space="0" w:color="auto"/>
      </w:divBdr>
      <w:divsChild>
        <w:div w:id="506947844">
          <w:marLeft w:val="1080"/>
          <w:marRight w:val="0"/>
          <w:marTop w:val="100"/>
          <w:marBottom w:val="0"/>
          <w:divBdr>
            <w:top w:val="none" w:sz="0" w:space="0" w:color="auto"/>
            <w:left w:val="none" w:sz="0" w:space="0" w:color="auto"/>
            <w:bottom w:val="none" w:sz="0" w:space="0" w:color="auto"/>
            <w:right w:val="none" w:sz="0" w:space="0" w:color="auto"/>
          </w:divBdr>
        </w:div>
        <w:div w:id="573246922">
          <w:marLeft w:val="1080"/>
          <w:marRight w:val="0"/>
          <w:marTop w:val="100"/>
          <w:marBottom w:val="0"/>
          <w:divBdr>
            <w:top w:val="none" w:sz="0" w:space="0" w:color="auto"/>
            <w:left w:val="none" w:sz="0" w:space="0" w:color="auto"/>
            <w:bottom w:val="none" w:sz="0" w:space="0" w:color="auto"/>
            <w:right w:val="none" w:sz="0" w:space="0" w:color="auto"/>
          </w:divBdr>
        </w:div>
        <w:div w:id="739206376">
          <w:marLeft w:val="1080"/>
          <w:marRight w:val="0"/>
          <w:marTop w:val="100"/>
          <w:marBottom w:val="0"/>
          <w:divBdr>
            <w:top w:val="none" w:sz="0" w:space="0" w:color="auto"/>
            <w:left w:val="none" w:sz="0" w:space="0" w:color="auto"/>
            <w:bottom w:val="none" w:sz="0" w:space="0" w:color="auto"/>
            <w:right w:val="none" w:sz="0" w:space="0" w:color="auto"/>
          </w:divBdr>
        </w:div>
        <w:div w:id="909119688">
          <w:marLeft w:val="1800"/>
          <w:marRight w:val="0"/>
          <w:marTop w:val="100"/>
          <w:marBottom w:val="0"/>
          <w:divBdr>
            <w:top w:val="none" w:sz="0" w:space="0" w:color="auto"/>
            <w:left w:val="none" w:sz="0" w:space="0" w:color="auto"/>
            <w:bottom w:val="none" w:sz="0" w:space="0" w:color="auto"/>
            <w:right w:val="none" w:sz="0" w:space="0" w:color="auto"/>
          </w:divBdr>
        </w:div>
        <w:div w:id="1550798504">
          <w:marLeft w:val="1080"/>
          <w:marRight w:val="0"/>
          <w:marTop w:val="100"/>
          <w:marBottom w:val="0"/>
          <w:divBdr>
            <w:top w:val="none" w:sz="0" w:space="0" w:color="auto"/>
            <w:left w:val="none" w:sz="0" w:space="0" w:color="auto"/>
            <w:bottom w:val="none" w:sz="0" w:space="0" w:color="auto"/>
            <w:right w:val="none" w:sz="0" w:space="0" w:color="auto"/>
          </w:divBdr>
        </w:div>
        <w:div w:id="2064987261">
          <w:marLeft w:val="1080"/>
          <w:marRight w:val="0"/>
          <w:marTop w:val="100"/>
          <w:marBottom w:val="0"/>
          <w:divBdr>
            <w:top w:val="none" w:sz="0" w:space="0" w:color="auto"/>
            <w:left w:val="none" w:sz="0" w:space="0" w:color="auto"/>
            <w:bottom w:val="none" w:sz="0" w:space="0" w:color="auto"/>
            <w:right w:val="none" w:sz="0" w:space="0" w:color="auto"/>
          </w:divBdr>
        </w:div>
      </w:divsChild>
    </w:div>
    <w:div w:id="1270435777">
      <w:bodyDiv w:val="1"/>
      <w:marLeft w:val="0"/>
      <w:marRight w:val="0"/>
      <w:marTop w:val="0"/>
      <w:marBottom w:val="0"/>
      <w:divBdr>
        <w:top w:val="none" w:sz="0" w:space="0" w:color="auto"/>
        <w:left w:val="none" w:sz="0" w:space="0" w:color="auto"/>
        <w:bottom w:val="none" w:sz="0" w:space="0" w:color="auto"/>
        <w:right w:val="none" w:sz="0" w:space="0" w:color="auto"/>
      </w:divBdr>
    </w:div>
    <w:div w:id="1273854391">
      <w:bodyDiv w:val="1"/>
      <w:marLeft w:val="0"/>
      <w:marRight w:val="0"/>
      <w:marTop w:val="0"/>
      <w:marBottom w:val="0"/>
      <w:divBdr>
        <w:top w:val="none" w:sz="0" w:space="0" w:color="auto"/>
        <w:left w:val="none" w:sz="0" w:space="0" w:color="auto"/>
        <w:bottom w:val="none" w:sz="0" w:space="0" w:color="auto"/>
        <w:right w:val="none" w:sz="0" w:space="0" w:color="auto"/>
      </w:divBdr>
    </w:div>
    <w:div w:id="1286036821">
      <w:bodyDiv w:val="1"/>
      <w:marLeft w:val="0"/>
      <w:marRight w:val="0"/>
      <w:marTop w:val="0"/>
      <w:marBottom w:val="0"/>
      <w:divBdr>
        <w:top w:val="none" w:sz="0" w:space="0" w:color="auto"/>
        <w:left w:val="none" w:sz="0" w:space="0" w:color="auto"/>
        <w:bottom w:val="none" w:sz="0" w:space="0" w:color="auto"/>
        <w:right w:val="none" w:sz="0" w:space="0" w:color="auto"/>
      </w:divBdr>
    </w:div>
    <w:div w:id="1311983398">
      <w:bodyDiv w:val="1"/>
      <w:marLeft w:val="0"/>
      <w:marRight w:val="0"/>
      <w:marTop w:val="0"/>
      <w:marBottom w:val="0"/>
      <w:divBdr>
        <w:top w:val="none" w:sz="0" w:space="0" w:color="auto"/>
        <w:left w:val="none" w:sz="0" w:space="0" w:color="auto"/>
        <w:bottom w:val="none" w:sz="0" w:space="0" w:color="auto"/>
        <w:right w:val="none" w:sz="0" w:space="0" w:color="auto"/>
      </w:divBdr>
    </w:div>
    <w:div w:id="1398474679">
      <w:bodyDiv w:val="1"/>
      <w:marLeft w:val="0"/>
      <w:marRight w:val="0"/>
      <w:marTop w:val="0"/>
      <w:marBottom w:val="0"/>
      <w:divBdr>
        <w:top w:val="none" w:sz="0" w:space="0" w:color="auto"/>
        <w:left w:val="none" w:sz="0" w:space="0" w:color="auto"/>
        <w:bottom w:val="none" w:sz="0" w:space="0" w:color="auto"/>
        <w:right w:val="none" w:sz="0" w:space="0" w:color="auto"/>
      </w:divBdr>
    </w:div>
    <w:div w:id="1546258775">
      <w:bodyDiv w:val="1"/>
      <w:marLeft w:val="0"/>
      <w:marRight w:val="0"/>
      <w:marTop w:val="0"/>
      <w:marBottom w:val="0"/>
      <w:divBdr>
        <w:top w:val="none" w:sz="0" w:space="0" w:color="auto"/>
        <w:left w:val="none" w:sz="0" w:space="0" w:color="auto"/>
        <w:bottom w:val="none" w:sz="0" w:space="0" w:color="auto"/>
        <w:right w:val="none" w:sz="0" w:space="0" w:color="auto"/>
      </w:divBdr>
      <w:divsChild>
        <w:div w:id="345905436">
          <w:marLeft w:val="0"/>
          <w:marRight w:val="0"/>
          <w:marTop w:val="0"/>
          <w:marBottom w:val="0"/>
          <w:divBdr>
            <w:top w:val="none" w:sz="0" w:space="0" w:color="auto"/>
            <w:left w:val="none" w:sz="0" w:space="0" w:color="auto"/>
            <w:bottom w:val="none" w:sz="0" w:space="0" w:color="auto"/>
            <w:right w:val="none" w:sz="0" w:space="0" w:color="auto"/>
          </w:divBdr>
        </w:div>
      </w:divsChild>
    </w:div>
    <w:div w:id="1662150313">
      <w:bodyDiv w:val="1"/>
      <w:marLeft w:val="0"/>
      <w:marRight w:val="0"/>
      <w:marTop w:val="0"/>
      <w:marBottom w:val="0"/>
      <w:divBdr>
        <w:top w:val="none" w:sz="0" w:space="0" w:color="auto"/>
        <w:left w:val="none" w:sz="0" w:space="0" w:color="auto"/>
        <w:bottom w:val="none" w:sz="0" w:space="0" w:color="auto"/>
        <w:right w:val="none" w:sz="0" w:space="0" w:color="auto"/>
      </w:divBdr>
      <w:divsChild>
        <w:div w:id="17238704">
          <w:marLeft w:val="2880"/>
          <w:marRight w:val="0"/>
          <w:marTop w:val="0"/>
          <w:marBottom w:val="0"/>
          <w:divBdr>
            <w:top w:val="none" w:sz="0" w:space="0" w:color="auto"/>
            <w:left w:val="none" w:sz="0" w:space="0" w:color="auto"/>
            <w:bottom w:val="none" w:sz="0" w:space="0" w:color="auto"/>
            <w:right w:val="none" w:sz="0" w:space="0" w:color="auto"/>
          </w:divBdr>
        </w:div>
        <w:div w:id="374701651">
          <w:marLeft w:val="1080"/>
          <w:marRight w:val="0"/>
          <w:marTop w:val="100"/>
          <w:marBottom w:val="0"/>
          <w:divBdr>
            <w:top w:val="none" w:sz="0" w:space="0" w:color="auto"/>
            <w:left w:val="none" w:sz="0" w:space="0" w:color="auto"/>
            <w:bottom w:val="none" w:sz="0" w:space="0" w:color="auto"/>
            <w:right w:val="none" w:sz="0" w:space="0" w:color="auto"/>
          </w:divBdr>
        </w:div>
        <w:div w:id="452132886">
          <w:marLeft w:val="2880"/>
          <w:marRight w:val="0"/>
          <w:marTop w:val="0"/>
          <w:marBottom w:val="0"/>
          <w:divBdr>
            <w:top w:val="none" w:sz="0" w:space="0" w:color="auto"/>
            <w:left w:val="none" w:sz="0" w:space="0" w:color="auto"/>
            <w:bottom w:val="none" w:sz="0" w:space="0" w:color="auto"/>
            <w:right w:val="none" w:sz="0" w:space="0" w:color="auto"/>
          </w:divBdr>
        </w:div>
        <w:div w:id="455178601">
          <w:marLeft w:val="2160"/>
          <w:marRight w:val="0"/>
          <w:marTop w:val="0"/>
          <w:marBottom w:val="0"/>
          <w:divBdr>
            <w:top w:val="none" w:sz="0" w:space="0" w:color="auto"/>
            <w:left w:val="none" w:sz="0" w:space="0" w:color="auto"/>
            <w:bottom w:val="none" w:sz="0" w:space="0" w:color="auto"/>
            <w:right w:val="none" w:sz="0" w:space="0" w:color="auto"/>
          </w:divBdr>
        </w:div>
        <w:div w:id="743064360">
          <w:marLeft w:val="2160"/>
          <w:marRight w:val="0"/>
          <w:marTop w:val="0"/>
          <w:marBottom w:val="0"/>
          <w:divBdr>
            <w:top w:val="none" w:sz="0" w:space="0" w:color="auto"/>
            <w:left w:val="none" w:sz="0" w:space="0" w:color="auto"/>
            <w:bottom w:val="none" w:sz="0" w:space="0" w:color="auto"/>
            <w:right w:val="none" w:sz="0" w:space="0" w:color="auto"/>
          </w:divBdr>
        </w:div>
        <w:div w:id="812336347">
          <w:marLeft w:val="2880"/>
          <w:marRight w:val="0"/>
          <w:marTop w:val="0"/>
          <w:marBottom w:val="0"/>
          <w:divBdr>
            <w:top w:val="none" w:sz="0" w:space="0" w:color="auto"/>
            <w:left w:val="none" w:sz="0" w:space="0" w:color="auto"/>
            <w:bottom w:val="none" w:sz="0" w:space="0" w:color="auto"/>
            <w:right w:val="none" w:sz="0" w:space="0" w:color="auto"/>
          </w:divBdr>
        </w:div>
        <w:div w:id="985864173">
          <w:marLeft w:val="2160"/>
          <w:marRight w:val="0"/>
          <w:marTop w:val="0"/>
          <w:marBottom w:val="0"/>
          <w:divBdr>
            <w:top w:val="none" w:sz="0" w:space="0" w:color="auto"/>
            <w:left w:val="none" w:sz="0" w:space="0" w:color="auto"/>
            <w:bottom w:val="none" w:sz="0" w:space="0" w:color="auto"/>
            <w:right w:val="none" w:sz="0" w:space="0" w:color="auto"/>
          </w:divBdr>
        </w:div>
        <w:div w:id="1803424236">
          <w:marLeft w:val="360"/>
          <w:marRight w:val="0"/>
          <w:marTop w:val="200"/>
          <w:marBottom w:val="0"/>
          <w:divBdr>
            <w:top w:val="none" w:sz="0" w:space="0" w:color="auto"/>
            <w:left w:val="none" w:sz="0" w:space="0" w:color="auto"/>
            <w:bottom w:val="none" w:sz="0" w:space="0" w:color="auto"/>
            <w:right w:val="none" w:sz="0" w:space="0" w:color="auto"/>
          </w:divBdr>
        </w:div>
        <w:div w:id="1818060934">
          <w:marLeft w:val="1440"/>
          <w:marRight w:val="0"/>
          <w:marTop w:val="0"/>
          <w:marBottom w:val="0"/>
          <w:divBdr>
            <w:top w:val="none" w:sz="0" w:space="0" w:color="auto"/>
            <w:left w:val="none" w:sz="0" w:space="0" w:color="auto"/>
            <w:bottom w:val="none" w:sz="0" w:space="0" w:color="auto"/>
            <w:right w:val="none" w:sz="0" w:space="0" w:color="auto"/>
          </w:divBdr>
        </w:div>
      </w:divsChild>
    </w:div>
    <w:div w:id="1665622841">
      <w:bodyDiv w:val="1"/>
      <w:marLeft w:val="0"/>
      <w:marRight w:val="0"/>
      <w:marTop w:val="0"/>
      <w:marBottom w:val="0"/>
      <w:divBdr>
        <w:top w:val="none" w:sz="0" w:space="0" w:color="auto"/>
        <w:left w:val="none" w:sz="0" w:space="0" w:color="auto"/>
        <w:bottom w:val="none" w:sz="0" w:space="0" w:color="auto"/>
        <w:right w:val="none" w:sz="0" w:space="0" w:color="auto"/>
      </w:divBdr>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708867677">
      <w:bodyDiv w:val="1"/>
      <w:marLeft w:val="0"/>
      <w:marRight w:val="0"/>
      <w:marTop w:val="0"/>
      <w:marBottom w:val="0"/>
      <w:divBdr>
        <w:top w:val="none" w:sz="0" w:space="0" w:color="auto"/>
        <w:left w:val="none" w:sz="0" w:space="0" w:color="auto"/>
        <w:bottom w:val="none" w:sz="0" w:space="0" w:color="auto"/>
        <w:right w:val="none" w:sz="0" w:space="0" w:color="auto"/>
      </w:divBdr>
      <w:divsChild>
        <w:div w:id="92553752">
          <w:marLeft w:val="1800"/>
          <w:marRight w:val="0"/>
          <w:marTop w:val="100"/>
          <w:marBottom w:val="0"/>
          <w:divBdr>
            <w:top w:val="none" w:sz="0" w:space="0" w:color="auto"/>
            <w:left w:val="none" w:sz="0" w:space="0" w:color="auto"/>
            <w:bottom w:val="none" w:sz="0" w:space="0" w:color="auto"/>
            <w:right w:val="none" w:sz="0" w:space="0" w:color="auto"/>
          </w:divBdr>
        </w:div>
        <w:div w:id="652955626">
          <w:marLeft w:val="1800"/>
          <w:marRight w:val="0"/>
          <w:marTop w:val="100"/>
          <w:marBottom w:val="0"/>
          <w:divBdr>
            <w:top w:val="none" w:sz="0" w:space="0" w:color="auto"/>
            <w:left w:val="none" w:sz="0" w:space="0" w:color="auto"/>
            <w:bottom w:val="none" w:sz="0" w:space="0" w:color="auto"/>
            <w:right w:val="none" w:sz="0" w:space="0" w:color="auto"/>
          </w:divBdr>
        </w:div>
        <w:div w:id="1275794102">
          <w:marLeft w:val="1080"/>
          <w:marRight w:val="0"/>
          <w:marTop w:val="100"/>
          <w:marBottom w:val="0"/>
          <w:divBdr>
            <w:top w:val="none" w:sz="0" w:space="0" w:color="auto"/>
            <w:left w:val="none" w:sz="0" w:space="0" w:color="auto"/>
            <w:bottom w:val="none" w:sz="0" w:space="0" w:color="auto"/>
            <w:right w:val="none" w:sz="0" w:space="0" w:color="auto"/>
          </w:divBdr>
        </w:div>
        <w:div w:id="1939872385">
          <w:marLeft w:val="1080"/>
          <w:marRight w:val="0"/>
          <w:marTop w:val="100"/>
          <w:marBottom w:val="0"/>
          <w:divBdr>
            <w:top w:val="none" w:sz="0" w:space="0" w:color="auto"/>
            <w:left w:val="none" w:sz="0" w:space="0" w:color="auto"/>
            <w:bottom w:val="none" w:sz="0" w:space="0" w:color="auto"/>
            <w:right w:val="none" w:sz="0" w:space="0" w:color="auto"/>
          </w:divBdr>
        </w:div>
        <w:div w:id="1969973077">
          <w:marLeft w:val="1800"/>
          <w:marRight w:val="0"/>
          <w:marTop w:val="100"/>
          <w:marBottom w:val="0"/>
          <w:divBdr>
            <w:top w:val="none" w:sz="0" w:space="0" w:color="auto"/>
            <w:left w:val="none" w:sz="0" w:space="0" w:color="auto"/>
            <w:bottom w:val="none" w:sz="0" w:space="0" w:color="auto"/>
            <w:right w:val="none" w:sz="0" w:space="0" w:color="auto"/>
          </w:divBdr>
        </w:div>
      </w:divsChild>
    </w:div>
    <w:div w:id="1728795718">
      <w:bodyDiv w:val="1"/>
      <w:marLeft w:val="0"/>
      <w:marRight w:val="0"/>
      <w:marTop w:val="0"/>
      <w:marBottom w:val="0"/>
      <w:divBdr>
        <w:top w:val="none" w:sz="0" w:space="0" w:color="auto"/>
        <w:left w:val="none" w:sz="0" w:space="0" w:color="auto"/>
        <w:bottom w:val="none" w:sz="0" w:space="0" w:color="auto"/>
        <w:right w:val="none" w:sz="0" w:space="0" w:color="auto"/>
      </w:divBdr>
    </w:div>
    <w:div w:id="1737124541">
      <w:bodyDiv w:val="1"/>
      <w:marLeft w:val="0"/>
      <w:marRight w:val="0"/>
      <w:marTop w:val="0"/>
      <w:marBottom w:val="0"/>
      <w:divBdr>
        <w:top w:val="none" w:sz="0" w:space="0" w:color="auto"/>
        <w:left w:val="none" w:sz="0" w:space="0" w:color="auto"/>
        <w:bottom w:val="none" w:sz="0" w:space="0" w:color="auto"/>
        <w:right w:val="none" w:sz="0" w:space="0" w:color="auto"/>
      </w:divBdr>
    </w:div>
    <w:div w:id="1958756431">
      <w:bodyDiv w:val="1"/>
      <w:marLeft w:val="0"/>
      <w:marRight w:val="0"/>
      <w:marTop w:val="0"/>
      <w:marBottom w:val="0"/>
      <w:divBdr>
        <w:top w:val="none" w:sz="0" w:space="0" w:color="auto"/>
        <w:left w:val="none" w:sz="0" w:space="0" w:color="auto"/>
        <w:bottom w:val="none" w:sz="0" w:space="0" w:color="auto"/>
        <w:right w:val="none" w:sz="0" w:space="0" w:color="auto"/>
      </w:divBdr>
      <w:divsChild>
        <w:div w:id="174535595">
          <w:marLeft w:val="2880"/>
          <w:marRight w:val="0"/>
          <w:marTop w:val="0"/>
          <w:marBottom w:val="0"/>
          <w:divBdr>
            <w:top w:val="none" w:sz="0" w:space="0" w:color="auto"/>
            <w:left w:val="none" w:sz="0" w:space="0" w:color="auto"/>
            <w:bottom w:val="none" w:sz="0" w:space="0" w:color="auto"/>
            <w:right w:val="none" w:sz="0" w:space="0" w:color="auto"/>
          </w:divBdr>
        </w:div>
        <w:div w:id="480316512">
          <w:marLeft w:val="2880"/>
          <w:marRight w:val="0"/>
          <w:marTop w:val="0"/>
          <w:marBottom w:val="0"/>
          <w:divBdr>
            <w:top w:val="none" w:sz="0" w:space="0" w:color="auto"/>
            <w:left w:val="none" w:sz="0" w:space="0" w:color="auto"/>
            <w:bottom w:val="none" w:sz="0" w:space="0" w:color="auto"/>
            <w:right w:val="none" w:sz="0" w:space="0" w:color="auto"/>
          </w:divBdr>
        </w:div>
        <w:div w:id="586887442">
          <w:marLeft w:val="2160"/>
          <w:marRight w:val="0"/>
          <w:marTop w:val="0"/>
          <w:marBottom w:val="0"/>
          <w:divBdr>
            <w:top w:val="none" w:sz="0" w:space="0" w:color="auto"/>
            <w:left w:val="none" w:sz="0" w:space="0" w:color="auto"/>
            <w:bottom w:val="none" w:sz="0" w:space="0" w:color="auto"/>
            <w:right w:val="none" w:sz="0" w:space="0" w:color="auto"/>
          </w:divBdr>
        </w:div>
        <w:div w:id="707995435">
          <w:marLeft w:val="1440"/>
          <w:marRight w:val="0"/>
          <w:marTop w:val="0"/>
          <w:marBottom w:val="0"/>
          <w:divBdr>
            <w:top w:val="none" w:sz="0" w:space="0" w:color="auto"/>
            <w:left w:val="none" w:sz="0" w:space="0" w:color="auto"/>
            <w:bottom w:val="none" w:sz="0" w:space="0" w:color="auto"/>
            <w:right w:val="none" w:sz="0" w:space="0" w:color="auto"/>
          </w:divBdr>
        </w:div>
        <w:div w:id="842010503">
          <w:marLeft w:val="2880"/>
          <w:marRight w:val="0"/>
          <w:marTop w:val="0"/>
          <w:marBottom w:val="0"/>
          <w:divBdr>
            <w:top w:val="none" w:sz="0" w:space="0" w:color="auto"/>
            <w:left w:val="none" w:sz="0" w:space="0" w:color="auto"/>
            <w:bottom w:val="none" w:sz="0" w:space="0" w:color="auto"/>
            <w:right w:val="none" w:sz="0" w:space="0" w:color="auto"/>
          </w:divBdr>
        </w:div>
        <w:div w:id="971058649">
          <w:marLeft w:val="2160"/>
          <w:marRight w:val="0"/>
          <w:marTop w:val="0"/>
          <w:marBottom w:val="0"/>
          <w:divBdr>
            <w:top w:val="none" w:sz="0" w:space="0" w:color="auto"/>
            <w:left w:val="none" w:sz="0" w:space="0" w:color="auto"/>
            <w:bottom w:val="none" w:sz="0" w:space="0" w:color="auto"/>
            <w:right w:val="none" w:sz="0" w:space="0" w:color="auto"/>
          </w:divBdr>
        </w:div>
        <w:div w:id="1376008553">
          <w:marLeft w:val="360"/>
          <w:marRight w:val="0"/>
          <w:marTop w:val="200"/>
          <w:marBottom w:val="0"/>
          <w:divBdr>
            <w:top w:val="none" w:sz="0" w:space="0" w:color="auto"/>
            <w:left w:val="none" w:sz="0" w:space="0" w:color="auto"/>
            <w:bottom w:val="none" w:sz="0" w:space="0" w:color="auto"/>
            <w:right w:val="none" w:sz="0" w:space="0" w:color="auto"/>
          </w:divBdr>
        </w:div>
        <w:div w:id="1640114310">
          <w:marLeft w:val="2160"/>
          <w:marRight w:val="0"/>
          <w:marTop w:val="0"/>
          <w:marBottom w:val="0"/>
          <w:divBdr>
            <w:top w:val="none" w:sz="0" w:space="0" w:color="auto"/>
            <w:left w:val="none" w:sz="0" w:space="0" w:color="auto"/>
            <w:bottom w:val="none" w:sz="0" w:space="0" w:color="auto"/>
            <w:right w:val="none" w:sz="0" w:space="0" w:color="auto"/>
          </w:divBdr>
        </w:div>
        <w:div w:id="1703439012">
          <w:marLeft w:val="1080"/>
          <w:marRight w:val="0"/>
          <w:marTop w:val="100"/>
          <w:marBottom w:val="0"/>
          <w:divBdr>
            <w:top w:val="none" w:sz="0" w:space="0" w:color="auto"/>
            <w:left w:val="none" w:sz="0" w:space="0" w:color="auto"/>
            <w:bottom w:val="none" w:sz="0" w:space="0" w:color="auto"/>
            <w:right w:val="none" w:sz="0" w:space="0" w:color="auto"/>
          </w:divBdr>
        </w:div>
      </w:divsChild>
    </w:div>
    <w:div w:id="2048214048">
      <w:bodyDiv w:val="1"/>
      <w:marLeft w:val="0"/>
      <w:marRight w:val="0"/>
      <w:marTop w:val="0"/>
      <w:marBottom w:val="0"/>
      <w:divBdr>
        <w:top w:val="none" w:sz="0" w:space="0" w:color="auto"/>
        <w:left w:val="none" w:sz="0" w:space="0" w:color="auto"/>
        <w:bottom w:val="none" w:sz="0" w:space="0" w:color="auto"/>
        <w:right w:val="none" w:sz="0" w:space="0" w:color="auto"/>
      </w:divBdr>
      <w:divsChild>
        <w:div w:id="1606039886">
          <w:marLeft w:val="1080"/>
          <w:marRight w:val="0"/>
          <w:marTop w:val="100"/>
          <w:marBottom w:val="0"/>
          <w:divBdr>
            <w:top w:val="none" w:sz="0" w:space="0" w:color="auto"/>
            <w:left w:val="none" w:sz="0" w:space="0" w:color="auto"/>
            <w:bottom w:val="none" w:sz="0" w:space="0" w:color="auto"/>
            <w:right w:val="none" w:sz="0" w:space="0" w:color="auto"/>
          </w:divBdr>
        </w:div>
        <w:div w:id="167873383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682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5AIRPNAIUNRU-1328258698-9915</_dlc_DocId>
    <_dlc_DocIdUrl xmlns="71c5aaf6-e6ce-465b-b873-5148d2a4c105">
      <Url>https://nokia.sharepoint.com/sites/c5g/5gradio/_layouts/15/DocIdRedir.aspx?ID=5AIRPNAIUNRU-1328258698-9915</Url>
      <Description>5AIRPNAIUNRU-1328258698-9915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3.xml><?xml version="1.0" encoding="utf-8"?>
<ds:datastoreItem xmlns:ds="http://schemas.openxmlformats.org/officeDocument/2006/customXml" ds:itemID="{637D7E96-1AD9-4D2B-94D1-A87337ADC771}">
  <ds:schemaRefs>
    <ds:schemaRef ds:uri="http://schemas.openxmlformats.org/officeDocument/2006/bibliography"/>
  </ds:schemaRefs>
</ds:datastoreItem>
</file>

<file path=customXml/itemProps4.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5.xml><?xml version="1.0" encoding="utf-8"?>
<ds:datastoreItem xmlns:ds="http://schemas.openxmlformats.org/officeDocument/2006/customXml" ds:itemID="{C02268C0-FD54-4F00-8383-5591AF1695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0CD81DF-A21D-47D0-938F-1F1E12ADA4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7687</TotalTime>
  <Pages>5</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203</cp:revision>
  <dcterms:created xsi:type="dcterms:W3CDTF">2021-08-07T10:38:00Z</dcterms:created>
  <dcterms:modified xsi:type="dcterms:W3CDTF">2022-02-14T20:08:00Z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4c18bb3c-0093-43df-aa26-3c3648f16888</vt:lpwstr>
  </property>
</Properties>
</file>